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N/>
        <w:bidi w:val="0"/>
        <w:adjustRightInd/>
        <w:spacing w:before="0" w:beforeAutospacing="0" w:after="0" w:afterAutospacing="0"/>
        <w:jc w:val="center"/>
        <w:textAlignment w:val="auto"/>
        <w:rPr>
          <w:rFonts w:hint="default" w:ascii="Times New Roman" w:hAnsi="Times New Roman" w:eastAsia="方正小标宋_GBK" w:cs="Times New Roman"/>
          <w:sz w:val="36"/>
          <w:szCs w:val="36"/>
          <w:shd w:val="clear" w:color="auto" w:fill="FFFFFF"/>
        </w:rPr>
      </w:pPr>
      <w:r>
        <w:rPr>
          <w:rFonts w:hint="default" w:ascii="Times New Roman" w:hAnsi="Times New Roman" w:eastAsia="方正小标宋_GBK" w:cs="Times New Roman"/>
          <w:sz w:val="36"/>
          <w:szCs w:val="36"/>
        </w:rPr>
        <w:t>重庆市忠县兴峰乡退役军人服务站</w:t>
      </w:r>
      <w:r>
        <w:rPr>
          <w:rFonts w:hint="default" w:ascii="Times New Roman" w:hAnsi="Times New Roman" w:eastAsia="方正小标宋_GBK" w:cs="Times New Roman"/>
          <w:sz w:val="36"/>
          <w:szCs w:val="36"/>
          <w:shd w:val="clear" w:color="auto" w:fill="FFFFFF"/>
        </w:rPr>
        <w:t>2023年度决算公开说明</w:t>
      </w:r>
    </w:p>
    <w:p>
      <w:pPr>
        <w:pStyle w:val="6"/>
        <w:keepNext w:val="0"/>
        <w:keepLines w:val="0"/>
        <w:pageBreakBefore w:val="0"/>
        <w:widowControl/>
        <w:shd w:val="clear" w:color="auto" w:fill="FFFFFF"/>
        <w:kinsoku/>
        <w:wordWrap/>
        <w:overflowPunct/>
        <w:topLinePunct w:val="0"/>
        <w:autoSpaceDE/>
        <w:autoSpaceDN/>
        <w:bidi w:val="0"/>
        <w:adjustRightInd/>
        <w:snapToGrid/>
        <w:spacing w:before="313" w:beforeLines="100" w:beforeAutospacing="0" w:after="0" w:afterAutospacing="0"/>
        <w:ind w:firstLine="643" w:firstLineChars="200"/>
        <w:textAlignment w:val="auto"/>
        <w:rPr>
          <w:rFonts w:hint="default" w:ascii="Times New Roman" w:hAnsi="Times New Roman" w:eastAsia="黑体" w:cs="Times New Roman"/>
          <w:sz w:val="32"/>
          <w:szCs w:val="32"/>
        </w:rPr>
      </w:pPr>
      <w:r>
        <w:rPr>
          <w:rStyle w:val="10"/>
          <w:rFonts w:hint="default" w:ascii="Times New Roman" w:hAnsi="Times New Roman" w:eastAsia="黑体" w:cs="Times New Roman"/>
          <w:sz w:val="32"/>
          <w:szCs w:val="32"/>
          <w:shd w:val="clear" w:color="auto" w:fill="FFFFFF"/>
        </w:rPr>
        <w:t>一、单位基本情况</w:t>
      </w:r>
    </w:p>
    <w:p>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ind w:firstLine="420"/>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（一）职能职责</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为辖区退役军人落实相关政</w:t>
      </w:r>
      <w:bookmarkStart w:id="0" w:name="_GoBack"/>
      <w:bookmarkEnd w:id="0"/>
      <w:r>
        <w:rPr>
          <w:rFonts w:hint="default" w:ascii="Times New Roman" w:hAnsi="Times New Roman" w:eastAsia="方正仿宋_GBK" w:cs="Times New Roman"/>
          <w:color w:val="auto"/>
          <w:sz w:val="32"/>
          <w:szCs w:val="32"/>
          <w:shd w:val="clear" w:color="auto" w:fill="FFFFFF"/>
        </w:rPr>
        <w:t>策维护合法权益提供服务，落实各项优抚安置政策，维护退役军人合法权益。</w:t>
      </w:r>
    </w:p>
    <w:p>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ind w:firstLine="420"/>
        <w:textAlignment w:val="auto"/>
        <w:rPr>
          <w:rFonts w:hint="default" w:ascii="Times New Roman" w:hAnsi="Times New Roman" w:eastAsia="楷体" w:cs="Times New Roman"/>
          <w:color w:val="auto"/>
          <w:sz w:val="32"/>
          <w:szCs w:val="32"/>
        </w:rPr>
      </w:pPr>
      <w:r>
        <w:rPr>
          <w:rStyle w:val="10"/>
          <w:rFonts w:hint="default" w:ascii="Times New Roman" w:hAnsi="Times New Roman" w:eastAsia="楷体" w:cs="Times New Roman"/>
          <w:color w:val="auto"/>
          <w:sz w:val="32"/>
          <w:szCs w:val="32"/>
          <w:shd w:val="clear" w:color="auto" w:fill="FFFFFF"/>
        </w:rPr>
        <w:t>（二）机构设置</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内设1个综合办公室</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ind w:firstLine="643" w:firstLineChars="200"/>
        <w:textAlignment w:val="auto"/>
        <w:rPr>
          <w:rStyle w:val="10"/>
          <w:rFonts w:hint="default" w:ascii="Times New Roman" w:hAnsi="Times New Roman" w:eastAsia="黑体" w:cs="Times New Roman"/>
          <w:color w:val="auto"/>
          <w:sz w:val="32"/>
          <w:szCs w:val="32"/>
          <w:shd w:val="clear" w:color="auto" w:fill="FFFFFF"/>
        </w:rPr>
      </w:pPr>
      <w:r>
        <w:rPr>
          <w:rStyle w:val="10"/>
          <w:rFonts w:hint="default" w:ascii="Times New Roman" w:hAnsi="Times New Roman" w:eastAsia="黑体" w:cs="Times New Roman"/>
          <w:color w:val="auto"/>
          <w:sz w:val="32"/>
          <w:szCs w:val="32"/>
          <w:shd w:val="clear" w:color="auto" w:fill="FFFFFF"/>
        </w:rPr>
        <w:t>二、单位决算情况说明</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color w:val="auto"/>
          <w:sz w:val="32"/>
          <w:szCs w:val="32"/>
          <w:shd w:val="clear" w:color="auto" w:fill="FFFFFF"/>
        </w:rPr>
      </w:pPr>
      <w:r>
        <w:rPr>
          <w:rFonts w:hint="default" w:ascii="Times New Roman" w:hAnsi="Times New Roman" w:eastAsia="楷体" w:cs="Times New Roman"/>
          <w:b/>
          <w:bCs/>
          <w:color w:val="auto"/>
          <w:sz w:val="32"/>
          <w:szCs w:val="32"/>
          <w:shd w:val="clear" w:color="auto" w:fill="FFFFFF"/>
        </w:rPr>
        <w:t>（一）收入支出决算总体情况说明。</w:t>
      </w:r>
    </w:p>
    <w:p>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ind w:firstLine="643" w:firstLineChars="200"/>
        <w:textAlignment w:val="auto"/>
        <w:rPr>
          <w:rFonts w:hint="default" w:ascii="Times New Roman" w:hAnsi="Times New Roman" w:eastAsia="方正仿宋_GBK" w:cs="Times New Roman"/>
          <w:color w:val="auto"/>
          <w:sz w:val="32"/>
          <w:szCs w:val="32"/>
          <w:lang w:val="en-US" w:eastAsia="zh-CN"/>
        </w:rPr>
      </w:pPr>
      <w:r>
        <w:rPr>
          <w:rStyle w:val="10"/>
          <w:rFonts w:hint="default" w:ascii="Times New Roman" w:hAnsi="Times New Roman" w:eastAsia="方正仿宋_GBK" w:cs="Times New Roman"/>
          <w:color w:val="auto"/>
          <w:sz w:val="32"/>
          <w:szCs w:val="32"/>
          <w:shd w:val="clear" w:color="auto" w:fill="FFFFFF"/>
        </w:rPr>
        <w:t>1.总体情况。</w:t>
      </w:r>
      <w:r>
        <w:rPr>
          <w:rFonts w:hint="default" w:ascii="Times New Roman" w:hAnsi="Times New Roman" w:eastAsia="方正仿宋_GBK" w:cs="Times New Roman"/>
          <w:color w:val="auto"/>
          <w:sz w:val="32"/>
          <w:szCs w:val="32"/>
          <w:shd w:val="clear" w:color="auto" w:fill="FFFFFF"/>
        </w:rPr>
        <w:t>2023年度收入总计43.76万元，支出总计</w:t>
      </w:r>
      <w:r>
        <w:rPr>
          <w:rFonts w:hint="default" w:ascii="Times New Roman" w:hAnsi="Times New Roman" w:eastAsia="方正仿宋_GBK" w:cs="Times New Roman"/>
          <w:color w:val="auto"/>
          <w:sz w:val="32"/>
          <w:szCs w:val="32"/>
        </w:rPr>
        <w:t>43.76</w:t>
      </w:r>
      <w:r>
        <w:rPr>
          <w:rFonts w:hint="default" w:ascii="Times New Roman" w:hAnsi="Times New Roman" w:eastAsia="方正仿宋_GBK" w:cs="Times New Roman"/>
          <w:color w:val="auto"/>
          <w:sz w:val="32"/>
          <w:szCs w:val="32"/>
          <w:shd w:val="clear" w:color="auto" w:fill="FFFFFF"/>
        </w:rPr>
        <w:t>万元。收支较上年决算数增加7.20万元，增长19.69%，主要原因是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2023年度我单位在职人员工资调标及补发以前年度职工应发未发待遇导致人员经费收入支出增加，使得年度收入支出较上年增加。</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color w:val="auto"/>
          <w:sz w:val="32"/>
          <w:szCs w:val="32"/>
          <w:shd w:val="clear" w:color="auto" w:fill="FFFFFF"/>
        </w:rPr>
      </w:pPr>
      <w:r>
        <w:rPr>
          <w:rStyle w:val="10"/>
          <w:rFonts w:hint="default" w:ascii="Times New Roman" w:hAnsi="Times New Roman" w:eastAsia="方正仿宋_GBK" w:cs="Times New Roman"/>
          <w:color w:val="auto"/>
          <w:sz w:val="32"/>
          <w:szCs w:val="32"/>
          <w:shd w:val="clear" w:color="auto" w:fill="FFFFFF"/>
        </w:rPr>
        <w:t>2.收入情况。</w:t>
      </w:r>
      <w:r>
        <w:rPr>
          <w:rFonts w:hint="default" w:ascii="Times New Roman" w:hAnsi="Times New Roman" w:eastAsia="方正仿宋_GBK" w:cs="Times New Roman"/>
          <w:color w:val="auto"/>
          <w:sz w:val="32"/>
          <w:szCs w:val="32"/>
          <w:shd w:val="clear" w:color="auto" w:fill="FFFFFF"/>
        </w:rPr>
        <w:t>2023年度收入合计43.76万元，较上年决算数增加7.20万元，增长19.69%，主要原因是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2023年度我单位在职人员工资调标及补发以前年度职工应发未发待遇导致人员经费收入增加，使得年度收入较上年增加。</w:t>
      </w:r>
      <w:r>
        <w:rPr>
          <w:rFonts w:hint="default" w:ascii="Times New Roman" w:hAnsi="Times New Roman" w:eastAsia="方正仿宋_GBK" w:cs="Times New Roman"/>
          <w:color w:val="auto"/>
          <w:sz w:val="32"/>
          <w:szCs w:val="32"/>
          <w:shd w:val="clear" w:color="auto" w:fill="FFFFFF"/>
        </w:rPr>
        <w:t>其中：财政拨款收入</w:t>
      </w:r>
      <w:r>
        <w:rPr>
          <w:rFonts w:hint="default" w:ascii="Times New Roman" w:hAnsi="Times New Roman" w:eastAsia="方正仿宋_GBK" w:cs="Times New Roman"/>
          <w:color w:val="auto"/>
          <w:sz w:val="32"/>
          <w:szCs w:val="32"/>
        </w:rPr>
        <w:t>43.76</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100.00</w:t>
      </w:r>
      <w:r>
        <w:rPr>
          <w:rFonts w:hint="default" w:ascii="Times New Roman" w:hAnsi="Times New Roman" w:eastAsia="方正仿宋_GBK" w:cs="Times New Roman"/>
          <w:color w:val="auto"/>
          <w:sz w:val="32"/>
          <w:szCs w:val="32"/>
          <w:shd w:val="clear" w:color="auto" w:fill="FFFFFF"/>
        </w:rPr>
        <w:t>%；事业收入</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万元，占0.00%；经营收入</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万元，占0.00%；其他收入</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万元，占0.00%。此外，使用非财政拨款结余和专用结余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万元，年初结转和结余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color w:val="auto"/>
          <w:sz w:val="32"/>
          <w:szCs w:val="32"/>
          <w:shd w:val="clear" w:color="auto" w:fill="FFFFFF"/>
        </w:rPr>
      </w:pPr>
      <w:r>
        <w:rPr>
          <w:rStyle w:val="10"/>
          <w:rFonts w:hint="default" w:ascii="Times New Roman" w:hAnsi="Times New Roman" w:eastAsia="方正仿宋_GBK" w:cs="Times New Roman"/>
          <w:color w:val="auto"/>
          <w:sz w:val="32"/>
          <w:szCs w:val="32"/>
          <w:shd w:val="clear" w:color="auto" w:fill="FFFFFF"/>
        </w:rPr>
        <w:t>3.支出情况。</w:t>
      </w:r>
      <w:r>
        <w:rPr>
          <w:rFonts w:hint="default" w:ascii="Times New Roman" w:hAnsi="Times New Roman" w:eastAsia="方正仿宋_GBK" w:cs="Times New Roman"/>
          <w:color w:val="auto"/>
          <w:sz w:val="32"/>
          <w:szCs w:val="32"/>
          <w:shd w:val="clear" w:color="auto" w:fill="FFFFFF"/>
        </w:rPr>
        <w:t>2023年度支出合计</w:t>
      </w:r>
      <w:r>
        <w:rPr>
          <w:rFonts w:hint="default" w:ascii="Times New Roman" w:hAnsi="Times New Roman" w:eastAsia="方正仿宋_GBK" w:cs="Times New Roman"/>
          <w:color w:val="auto"/>
          <w:sz w:val="32"/>
          <w:szCs w:val="32"/>
        </w:rPr>
        <w:t>43.76</w:t>
      </w:r>
      <w:r>
        <w:rPr>
          <w:rFonts w:hint="default" w:ascii="Times New Roman" w:hAnsi="Times New Roman" w:eastAsia="方正仿宋_GBK" w:cs="Times New Roman"/>
          <w:color w:val="auto"/>
          <w:sz w:val="32"/>
          <w:szCs w:val="32"/>
          <w:shd w:val="clear" w:color="auto" w:fill="FFFFFF"/>
        </w:rPr>
        <w:t>万元，较上年决算数增加7.20万元，增长19.69%，主要原因是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2023年度我单位在职人员工资调标及补发以前年度职工应发未发待遇导致人员经费支出增加，使得年度支出较上年增加。</w:t>
      </w:r>
      <w:r>
        <w:rPr>
          <w:rFonts w:hint="default" w:ascii="Times New Roman" w:hAnsi="Times New Roman" w:eastAsia="方正仿宋_GBK" w:cs="Times New Roman"/>
          <w:color w:val="auto"/>
          <w:sz w:val="32"/>
          <w:szCs w:val="32"/>
          <w:shd w:val="clear" w:color="auto" w:fill="FFFFFF"/>
        </w:rPr>
        <w:t>其中：基本支出</w:t>
      </w:r>
      <w:r>
        <w:rPr>
          <w:rFonts w:hint="default" w:ascii="Times New Roman" w:hAnsi="Times New Roman" w:eastAsia="方正仿宋_GBK" w:cs="Times New Roman"/>
          <w:color w:val="auto"/>
          <w:sz w:val="32"/>
          <w:szCs w:val="32"/>
        </w:rPr>
        <w:t>43.76</w:t>
      </w:r>
      <w:r>
        <w:rPr>
          <w:rFonts w:hint="default" w:ascii="Times New Roman" w:hAnsi="Times New Roman" w:eastAsia="方正仿宋_GBK" w:cs="Times New Roman"/>
          <w:color w:val="auto"/>
          <w:sz w:val="32"/>
          <w:szCs w:val="32"/>
          <w:shd w:val="clear" w:color="auto" w:fill="FFFFFF"/>
        </w:rPr>
        <w:t>万元，占100.00%；项目支出</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万元，占0.00%；经营支出</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万元，占0.00%。此外，结余分配</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lang w:val="en-US" w:eastAsia="zh-CN"/>
        </w:rPr>
      </w:pPr>
      <w:r>
        <w:rPr>
          <w:rStyle w:val="10"/>
          <w:rFonts w:hint="default" w:ascii="Times New Roman" w:hAnsi="Times New Roman" w:eastAsia="方正仿宋_GBK" w:cs="Times New Roman"/>
          <w:color w:val="auto"/>
          <w:sz w:val="32"/>
          <w:szCs w:val="32"/>
          <w:shd w:val="clear" w:color="auto" w:fill="FFFFFF"/>
        </w:rPr>
        <w:t>4.结转结余情况。</w:t>
      </w:r>
      <w:r>
        <w:rPr>
          <w:rFonts w:hint="default" w:ascii="Times New Roman" w:hAnsi="Times New Roman" w:eastAsia="方正仿宋_GBK" w:cs="Times New Roman"/>
          <w:color w:val="auto"/>
          <w:sz w:val="32"/>
          <w:szCs w:val="32"/>
          <w:shd w:val="clear" w:color="auto" w:fill="FFFFFF"/>
        </w:rPr>
        <w:t>2023年度年末结转和结余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万元，较上年决算数无增减，主要原因是</w:t>
      </w:r>
      <w:r>
        <w:rPr>
          <w:rFonts w:hint="default" w:ascii="Times New Roman" w:hAnsi="Times New Roman" w:eastAsia="方正仿宋_GBK" w:cs="Times New Roman"/>
          <w:color w:val="auto"/>
          <w:sz w:val="32"/>
          <w:szCs w:val="32"/>
          <w:shd w:val="clear" w:color="auto" w:fill="FFFFFF"/>
          <w:lang w:val="en-US" w:eastAsia="zh-CN"/>
        </w:rPr>
        <w:t>我单位严格执行预算，收支平衡，无结转和结余。</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（二）财政拨款收入支出决算总体情况说明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shd w:val="clear" w:color="auto" w:fill="FFFFFF"/>
        </w:rPr>
        <w:t>2023年度财政拨款收、支总计43.76万元。与2022年相比，财</w:t>
      </w:r>
      <w:r>
        <w:rPr>
          <w:rFonts w:hint="default" w:ascii="Times New Roman" w:hAnsi="Times New Roman" w:eastAsia="方正仿宋_GBK" w:cs="Times New Roman"/>
          <w:color w:val="auto"/>
          <w:sz w:val="32"/>
          <w:szCs w:val="32"/>
          <w:shd w:val="clear" w:color="auto" w:fill="FFFFFF"/>
        </w:rPr>
        <w:t>政拨款收、支总计各增加7.20万元，增长19.69%。主要原因是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2023年度我单位在职人员工资调标及补发以前年度职工应发未发待遇导致人员经费收入支出增加，使得年度财政拨款收入支出较上年增加。</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color w:val="auto"/>
          <w:sz w:val="32"/>
          <w:szCs w:val="32"/>
          <w:shd w:val="clear" w:color="auto" w:fill="FFFFFF"/>
        </w:rPr>
      </w:pPr>
      <w:r>
        <w:rPr>
          <w:rFonts w:hint="default" w:ascii="Times New Roman" w:hAnsi="Times New Roman" w:eastAsia="楷体" w:cs="Times New Roman"/>
          <w:b/>
          <w:bCs/>
          <w:color w:val="auto"/>
          <w:sz w:val="32"/>
          <w:szCs w:val="32"/>
          <w:shd w:val="clear" w:color="auto" w:fill="FFFFFF"/>
        </w:rPr>
        <w:t>（三）一般公共预算财政拨款收入支出决算情况说明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color w:val="auto"/>
          <w:sz w:val="32"/>
          <w:szCs w:val="32"/>
        </w:rPr>
      </w:pPr>
      <w:r>
        <w:rPr>
          <w:rStyle w:val="10"/>
          <w:rFonts w:hint="default" w:ascii="Times New Roman" w:hAnsi="Times New Roman" w:eastAsia="方正仿宋_GBK" w:cs="Times New Roman"/>
          <w:color w:val="auto"/>
          <w:sz w:val="32"/>
          <w:szCs w:val="32"/>
          <w:shd w:val="clear" w:color="auto" w:fill="FFFFFF"/>
        </w:rPr>
        <w:t>1.收入情况。</w:t>
      </w:r>
      <w:r>
        <w:rPr>
          <w:rFonts w:hint="default" w:ascii="Times New Roman" w:hAnsi="Times New Roman" w:eastAsia="方正仿宋_GBK" w:cs="Times New Roman"/>
          <w:color w:val="auto"/>
          <w:sz w:val="32"/>
          <w:szCs w:val="32"/>
          <w:shd w:val="clear" w:color="auto" w:fill="FFFFFF"/>
        </w:rPr>
        <w:t>2023年度一般公共预算财政拨款收入</w:t>
      </w:r>
      <w:r>
        <w:rPr>
          <w:rFonts w:hint="default" w:ascii="Times New Roman" w:hAnsi="Times New Roman" w:eastAsia="方正仿宋_GBK" w:cs="Times New Roman"/>
          <w:color w:val="auto"/>
          <w:sz w:val="32"/>
          <w:szCs w:val="32"/>
        </w:rPr>
        <w:t>43.76</w:t>
      </w:r>
      <w:r>
        <w:rPr>
          <w:rFonts w:hint="default" w:ascii="Times New Roman" w:hAnsi="Times New Roman" w:eastAsia="方正仿宋_GBK" w:cs="Times New Roman"/>
          <w:color w:val="auto"/>
          <w:sz w:val="32"/>
          <w:szCs w:val="32"/>
          <w:shd w:val="clear" w:color="auto" w:fill="FFFFFF"/>
        </w:rPr>
        <w:t>万元，较上年决算数增加7.20万元，增长19.69%。主要原因是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2023年度我单位在职人员工资调标及补发以前年度职工应发未发待遇导致人员经费收入增加，使得年度</w:t>
      </w:r>
      <w:r>
        <w:rPr>
          <w:rFonts w:hint="default" w:ascii="Times New Roman" w:hAnsi="Times New Roman" w:eastAsia="方正仿宋_GBK" w:cs="Times New Roman"/>
          <w:color w:val="auto"/>
          <w:sz w:val="32"/>
          <w:szCs w:val="32"/>
          <w:shd w:val="clear" w:color="auto" w:fill="FFFFFF"/>
        </w:rPr>
        <w:t>一般公共预算财政拨款</w:t>
      </w:r>
      <w:r>
        <w:rPr>
          <w:rFonts w:hint="default" w:ascii="Times New Roman" w:hAnsi="Times New Roman" w:eastAsia="方正仿宋_GBK" w:cs="Times New Roman"/>
          <w:color w:val="auto"/>
          <w:sz w:val="32"/>
          <w:szCs w:val="32"/>
          <w:shd w:val="clear" w:color="auto" w:fill="FFFFFF"/>
          <w:lang w:val="en-US" w:eastAsia="zh-CN"/>
        </w:rPr>
        <w:t>收入较上年增加。</w:t>
      </w:r>
      <w:r>
        <w:rPr>
          <w:rFonts w:hint="default" w:ascii="Times New Roman" w:hAnsi="Times New Roman" w:eastAsia="方正仿宋_GBK" w:cs="Times New Roman"/>
          <w:color w:val="auto"/>
          <w:sz w:val="32"/>
          <w:szCs w:val="32"/>
          <w:shd w:val="clear" w:color="auto" w:fill="FFFFFF"/>
        </w:rPr>
        <w:t>较年初预算数增加6.68万元，增长18.02%。主要原因是</w:t>
      </w:r>
      <w:r>
        <w:rPr>
          <w:rFonts w:hint="default" w:ascii="Times New Roman" w:hAnsi="Times New Roman" w:eastAsia="方正仿宋_GBK" w:cs="Times New Roman"/>
          <w:color w:val="auto"/>
          <w:sz w:val="32"/>
          <w:szCs w:val="32"/>
          <w:shd w:val="clear" w:color="auto" w:fill="FFFFFF"/>
          <w:lang w:val="en-US" w:eastAsia="zh-CN"/>
        </w:rPr>
        <w:t>我单位在职人员工资调标及补发以前年度职工应发未发待遇未纳入年初预算。</w:t>
      </w:r>
      <w:r>
        <w:rPr>
          <w:rFonts w:hint="default" w:ascii="Times New Roman" w:hAnsi="Times New Roman" w:eastAsia="方正仿宋_GBK" w:cs="Times New Roman"/>
          <w:color w:val="auto"/>
          <w:sz w:val="32"/>
          <w:szCs w:val="32"/>
          <w:shd w:val="clear" w:color="auto" w:fill="FFFFFF"/>
        </w:rPr>
        <w:t>此外，年初财政拨款结转和结余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2.支出情况。</w:t>
      </w:r>
      <w:r>
        <w:rPr>
          <w:rFonts w:hint="default" w:ascii="Times New Roman" w:hAnsi="Times New Roman" w:eastAsia="方正仿宋_GBK" w:cs="Times New Roman"/>
          <w:sz w:val="32"/>
          <w:szCs w:val="32"/>
          <w:shd w:val="clear" w:color="auto" w:fill="FFFFFF"/>
        </w:rPr>
        <w:t>2023年度一般公共预算财政拨款支出</w:t>
      </w:r>
      <w:r>
        <w:rPr>
          <w:rFonts w:hint="default" w:ascii="Times New Roman" w:hAnsi="Times New Roman" w:eastAsia="方正仿宋_GBK" w:cs="Times New Roman"/>
          <w:sz w:val="32"/>
          <w:szCs w:val="32"/>
        </w:rPr>
        <w:t>43.76</w:t>
      </w:r>
      <w:r>
        <w:rPr>
          <w:rFonts w:hint="default" w:ascii="Times New Roman" w:hAnsi="Times New Roman" w:eastAsia="方正仿宋_GBK" w:cs="Times New Roman"/>
          <w:sz w:val="32"/>
          <w:szCs w:val="32"/>
          <w:shd w:val="clear" w:color="auto" w:fill="FFFFFF"/>
        </w:rPr>
        <w:t>万元，较上年决算数增加7.20万元，增长19.69%。主要原因是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2023年度我单位在职人员工资调标及补发以前年度职工应发未发待遇导致人员经费支出增加，使得年度</w:t>
      </w:r>
      <w:r>
        <w:rPr>
          <w:rFonts w:hint="default" w:ascii="Times New Roman" w:hAnsi="Times New Roman" w:eastAsia="方正仿宋_GBK" w:cs="Times New Roman"/>
          <w:color w:val="auto"/>
          <w:sz w:val="32"/>
          <w:szCs w:val="32"/>
          <w:shd w:val="clear" w:color="auto" w:fill="FFFFFF"/>
        </w:rPr>
        <w:t>一般公共预算财政拨款</w:t>
      </w:r>
      <w:r>
        <w:rPr>
          <w:rFonts w:hint="default" w:ascii="Times New Roman" w:hAnsi="Times New Roman" w:eastAsia="方正仿宋_GBK" w:cs="Times New Roman"/>
          <w:color w:val="auto"/>
          <w:sz w:val="32"/>
          <w:szCs w:val="32"/>
          <w:shd w:val="clear" w:color="auto" w:fill="FFFFFF"/>
          <w:lang w:val="en-US" w:eastAsia="zh-CN"/>
        </w:rPr>
        <w:t>支出较上年增加。</w:t>
      </w:r>
      <w:r>
        <w:rPr>
          <w:rFonts w:hint="default" w:ascii="Times New Roman" w:hAnsi="Times New Roman" w:eastAsia="方正仿宋_GBK" w:cs="Times New Roman"/>
          <w:sz w:val="32"/>
          <w:szCs w:val="32"/>
          <w:shd w:val="clear" w:color="auto" w:fill="FFFFFF"/>
        </w:rPr>
        <w:t>较年初预算数增加6.68万元，增长18.02%。主要原因是</w:t>
      </w:r>
      <w:r>
        <w:rPr>
          <w:rFonts w:hint="default" w:ascii="Times New Roman" w:hAnsi="Times New Roman" w:eastAsia="方正仿宋_GBK" w:cs="Times New Roman"/>
          <w:color w:val="auto"/>
          <w:sz w:val="32"/>
          <w:szCs w:val="32"/>
          <w:shd w:val="clear" w:color="auto" w:fill="FFFFFF"/>
          <w:lang w:val="en-US" w:eastAsia="zh-CN"/>
        </w:rPr>
        <w:t>我单位在职人员工资调标及补发以前年度职工应发未发待遇未纳入年初预算。</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3.结转结余情况。</w:t>
      </w:r>
      <w:r>
        <w:rPr>
          <w:rFonts w:hint="default" w:ascii="Times New Roman" w:hAnsi="Times New Roman" w:eastAsia="方正仿宋_GBK" w:cs="Times New Roman"/>
          <w:sz w:val="32"/>
          <w:szCs w:val="32"/>
          <w:shd w:val="clear" w:color="auto" w:fill="FFFFFF"/>
        </w:rPr>
        <w:t>2023年度年末一般公共预算财政拨款结转和结余</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万元，较上年决算数无增减，主要原因是</w:t>
      </w:r>
      <w:r>
        <w:rPr>
          <w:rFonts w:hint="default" w:ascii="Times New Roman" w:hAnsi="Times New Roman" w:eastAsia="方正仿宋_GBK" w:cs="Times New Roman"/>
          <w:color w:val="auto"/>
          <w:sz w:val="32"/>
          <w:szCs w:val="32"/>
          <w:shd w:val="clear" w:color="auto" w:fill="FFFFFF"/>
          <w:lang w:val="en-US" w:eastAsia="zh-CN"/>
        </w:rPr>
        <w:t>我单位严格执行预算，收支平衡，无结转和结余。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color w:val="FF0000"/>
          <w:sz w:val="32"/>
          <w:szCs w:val="32"/>
          <w:highlight w:val="cyan"/>
          <w:shd w:val="clear" w:color="auto" w:fill="FFFFFF"/>
        </w:rPr>
      </w:pPr>
      <w:r>
        <w:rPr>
          <w:rStyle w:val="10"/>
          <w:rFonts w:hint="default" w:ascii="Times New Roman" w:hAnsi="Times New Roman" w:eastAsia="方正仿宋_GBK" w:cs="Times New Roman"/>
          <w:sz w:val="32"/>
          <w:szCs w:val="32"/>
          <w:shd w:val="clear" w:color="auto" w:fill="FFFFFF"/>
        </w:rPr>
        <w:t xml:space="preserve"> 4.比较情况。</w:t>
      </w:r>
      <w:r>
        <w:rPr>
          <w:rFonts w:hint="default" w:ascii="Times New Roman" w:hAnsi="Times New Roman" w:eastAsia="方正仿宋_GBK" w:cs="Times New Roman"/>
          <w:sz w:val="32"/>
          <w:szCs w:val="32"/>
          <w:shd w:val="clear" w:color="auto" w:fill="FFFFFF"/>
        </w:rPr>
        <w:t>本单位2023年度一般公共预算财政拨款支出主要用于以下几个方面：</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sz w:val="32"/>
          <w:szCs w:val="32"/>
          <w:shd w:val="clear" w:color="auto" w:fill="FFFFFF"/>
        </w:rPr>
        <w:t>（</w:t>
      </w:r>
      <w:r>
        <w:rPr>
          <w:rFonts w:hint="default" w:ascii="Times New Roman" w:hAnsi="Times New Roman" w:eastAsia="方正仿宋_GBK" w:cs="Times New Roman"/>
          <w:sz w:val="32"/>
          <w:szCs w:val="32"/>
          <w:shd w:val="clear" w:color="auto" w:fill="FFFFFF"/>
          <w:lang w:val="en-US" w:eastAsia="zh-CN"/>
        </w:rPr>
        <w:t>1</w:t>
      </w:r>
      <w:r>
        <w:rPr>
          <w:rFonts w:hint="default" w:ascii="Times New Roman" w:hAnsi="Times New Roman" w:eastAsia="方正仿宋_GBK" w:cs="Times New Roman"/>
          <w:sz w:val="32"/>
          <w:szCs w:val="32"/>
          <w:shd w:val="clear" w:color="auto" w:fill="FFFFFF"/>
        </w:rPr>
        <w:t>）教育支出</w:t>
      </w:r>
      <w:r>
        <w:rPr>
          <w:rFonts w:hint="default" w:ascii="Times New Roman" w:hAnsi="Times New Roman" w:eastAsia="方正仿宋_GBK" w:cs="Times New Roman"/>
          <w:sz w:val="32"/>
          <w:szCs w:val="32"/>
        </w:rPr>
        <w:t>0.11</w:t>
      </w:r>
      <w:r>
        <w:rPr>
          <w:rFonts w:hint="default" w:ascii="Times New Roman" w:hAnsi="Times New Roman" w:eastAsia="方正仿宋_GBK" w:cs="Times New Roman"/>
          <w:sz w:val="32"/>
          <w:szCs w:val="32"/>
          <w:shd w:val="clear" w:color="auto" w:fill="FFFFFF"/>
        </w:rPr>
        <w:t>万元，占</w:t>
      </w:r>
      <w:r>
        <w:rPr>
          <w:rFonts w:hint="default" w:ascii="Times New Roman" w:hAnsi="Times New Roman" w:eastAsia="方正仿宋_GBK" w:cs="Times New Roman"/>
          <w:sz w:val="32"/>
          <w:szCs w:val="32"/>
        </w:rPr>
        <w:t>0.25</w:t>
      </w:r>
      <w:r>
        <w:rPr>
          <w:rFonts w:hint="default" w:ascii="Times New Roman" w:hAnsi="Times New Roman" w:eastAsia="方正仿宋_GBK" w:cs="Times New Roman"/>
          <w:sz w:val="32"/>
          <w:szCs w:val="32"/>
          <w:shd w:val="clear" w:color="auto" w:fill="FFFFFF"/>
        </w:rPr>
        <w:t>%，较年初预算数无增减，主要原</w:t>
      </w:r>
      <w:r>
        <w:rPr>
          <w:rFonts w:hint="default" w:ascii="Times New Roman" w:hAnsi="Times New Roman" w:eastAsia="方正仿宋_GBK" w:cs="Times New Roman"/>
          <w:color w:val="auto"/>
          <w:sz w:val="32"/>
          <w:szCs w:val="32"/>
          <w:shd w:val="clear" w:color="auto" w:fill="FFFFFF"/>
        </w:rPr>
        <w:t>因是</w:t>
      </w:r>
      <w:r>
        <w:rPr>
          <w:rFonts w:hint="default" w:ascii="Times New Roman" w:hAnsi="Times New Roman" w:eastAsia="方正仿宋_GBK" w:cs="Times New Roman"/>
          <w:color w:val="auto"/>
          <w:sz w:val="32"/>
          <w:szCs w:val="32"/>
          <w:shd w:val="clear" w:color="auto" w:fill="FFFFFF"/>
          <w:lang w:val="en-US" w:eastAsia="zh-CN"/>
        </w:rPr>
        <w:t>严格执行年初预算，按照计划开展人员培训。</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2</w:t>
      </w:r>
      <w:r>
        <w:rPr>
          <w:rFonts w:hint="default" w:ascii="Times New Roman" w:hAnsi="Times New Roman" w:eastAsia="方正仿宋_GBK" w:cs="Times New Roman"/>
          <w:color w:val="auto"/>
          <w:sz w:val="32"/>
          <w:szCs w:val="32"/>
          <w:shd w:val="clear" w:color="auto" w:fill="FFFFFF"/>
        </w:rPr>
        <w:t>）社会保障与就业支出</w:t>
      </w:r>
      <w:r>
        <w:rPr>
          <w:rFonts w:hint="default" w:ascii="Times New Roman" w:hAnsi="Times New Roman" w:eastAsia="方正仿宋_GBK" w:cs="Times New Roman"/>
          <w:color w:val="auto"/>
          <w:sz w:val="32"/>
          <w:szCs w:val="32"/>
        </w:rPr>
        <w:t>40.15</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91.76</w:t>
      </w:r>
      <w:r>
        <w:rPr>
          <w:rFonts w:hint="default" w:ascii="Times New Roman" w:hAnsi="Times New Roman" w:eastAsia="方正仿宋_GBK" w:cs="Times New Roman"/>
          <w:color w:val="auto"/>
          <w:sz w:val="32"/>
          <w:szCs w:val="32"/>
          <w:shd w:val="clear" w:color="auto" w:fill="FFFFFF"/>
        </w:rPr>
        <w:t>%，较年初预算数增加6.67万元，增长19.92%，主要原因是</w:t>
      </w:r>
      <w:r>
        <w:rPr>
          <w:rFonts w:hint="default" w:ascii="Times New Roman" w:hAnsi="Times New Roman" w:eastAsia="方正仿宋_GBK" w:cs="Times New Roman"/>
          <w:color w:val="auto"/>
          <w:sz w:val="32"/>
          <w:szCs w:val="32"/>
          <w:shd w:val="clear" w:color="auto" w:fill="FFFFFF"/>
          <w:lang w:val="en-US" w:eastAsia="zh-CN"/>
        </w:rPr>
        <w:t>年中追加军人优抚、义务兵优待等专项资金导致费用支出增加。</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3</w:t>
      </w:r>
      <w:r>
        <w:rPr>
          <w:rFonts w:hint="default" w:ascii="Times New Roman" w:hAnsi="Times New Roman" w:eastAsia="方正仿宋_GBK" w:cs="Times New Roman"/>
          <w:color w:val="auto"/>
          <w:sz w:val="32"/>
          <w:szCs w:val="32"/>
          <w:shd w:val="clear" w:color="auto" w:fill="FFFFFF"/>
        </w:rPr>
        <w:t>）卫生健康支出</w:t>
      </w:r>
      <w:r>
        <w:rPr>
          <w:rFonts w:hint="default" w:ascii="Times New Roman" w:hAnsi="Times New Roman" w:eastAsia="方正仿宋_GBK" w:cs="Times New Roman"/>
          <w:color w:val="auto"/>
          <w:sz w:val="32"/>
          <w:szCs w:val="32"/>
        </w:rPr>
        <w:t>1.71</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3.90</w:t>
      </w:r>
      <w:r>
        <w:rPr>
          <w:rFonts w:hint="default" w:ascii="Times New Roman" w:hAnsi="Times New Roman" w:eastAsia="方正仿宋_GBK" w:cs="Times New Roman"/>
          <w:color w:val="auto"/>
          <w:sz w:val="32"/>
          <w:szCs w:val="32"/>
          <w:shd w:val="clear" w:color="auto" w:fill="FFFFFF"/>
        </w:rPr>
        <w:t>%，较年初预算数无增减，主要原因是</w:t>
      </w:r>
      <w:r>
        <w:rPr>
          <w:rFonts w:hint="default" w:ascii="Times New Roman" w:hAnsi="Times New Roman" w:eastAsia="方正仿宋_GBK" w:cs="Times New Roman"/>
          <w:color w:val="auto"/>
          <w:sz w:val="32"/>
          <w:szCs w:val="32"/>
          <w:shd w:val="clear" w:color="auto" w:fill="FFFFFF"/>
          <w:lang w:val="en-US" w:eastAsia="zh-CN"/>
        </w:rPr>
        <w:t>严格执行年初预算，按照规定缴纳医疗保险。</w:t>
      </w:r>
    </w:p>
    <w:p>
      <w:pPr>
        <w:keepNext w:val="0"/>
        <w:keepLines w:val="0"/>
        <w:pageBreakBefore w:val="0"/>
        <w:widowControl/>
        <w:kinsoku/>
        <w:wordWrap/>
        <w:overflowPunct/>
        <w:topLinePunct w:val="0"/>
        <w:autoSpaceDN/>
        <w:bidi w:val="0"/>
        <w:adjustRightInd/>
        <w:spacing w:beforeAutospacing="0" w:afterAutospacing="0"/>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4</w:t>
      </w: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rPr>
        <w:t>住房保障支出1.79</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4.09</w:t>
      </w:r>
      <w:r>
        <w:rPr>
          <w:rFonts w:hint="default" w:ascii="Times New Roman" w:hAnsi="Times New Roman" w:eastAsia="方正仿宋_GBK" w:cs="Times New Roman"/>
          <w:color w:val="auto"/>
          <w:sz w:val="32"/>
          <w:szCs w:val="32"/>
          <w:shd w:val="clear" w:color="auto" w:fill="FFFFFF"/>
        </w:rPr>
        <w:t>%，较年初预算数无增减，主要原因是</w:t>
      </w:r>
      <w:r>
        <w:rPr>
          <w:rFonts w:hint="default" w:ascii="Times New Roman" w:hAnsi="Times New Roman" w:eastAsia="方正仿宋_GBK" w:cs="Times New Roman"/>
          <w:color w:val="auto"/>
          <w:sz w:val="32"/>
          <w:szCs w:val="32"/>
          <w:shd w:val="clear" w:color="auto" w:fill="FFFFFF"/>
          <w:lang w:val="en-US" w:eastAsia="zh-CN"/>
        </w:rPr>
        <w:t>严格执行年初预算，按照规定缴纳住房公积金。</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（四）一般公共预算财政拨款基本支出决算情况说明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shd w:val="clear" w:color="auto" w:fill="FFFFFF"/>
        </w:rPr>
        <w:t> 2023年度一般公共财政拨款基本支出</w:t>
      </w:r>
      <w:r>
        <w:rPr>
          <w:rFonts w:hint="default" w:ascii="Times New Roman" w:hAnsi="Times New Roman" w:eastAsia="方正仿宋_GBK" w:cs="Times New Roman"/>
          <w:sz w:val="32"/>
          <w:szCs w:val="32"/>
        </w:rPr>
        <w:t>43.76</w:t>
      </w:r>
      <w:r>
        <w:rPr>
          <w:rFonts w:hint="default" w:ascii="Times New Roman" w:hAnsi="Times New Roman" w:eastAsia="方正仿宋_GBK" w:cs="Times New Roman"/>
          <w:sz w:val="32"/>
          <w:szCs w:val="32"/>
          <w:shd w:val="clear" w:color="auto" w:fill="FFFFFF"/>
        </w:rPr>
        <w:t>万元。其中：人员经费</w:t>
      </w:r>
      <w:r>
        <w:rPr>
          <w:rFonts w:hint="default" w:ascii="Times New Roman" w:hAnsi="Times New Roman" w:eastAsia="方正仿宋_GBK" w:cs="Times New Roman"/>
          <w:sz w:val="32"/>
          <w:szCs w:val="32"/>
        </w:rPr>
        <w:t>39.67</w:t>
      </w:r>
      <w:r>
        <w:rPr>
          <w:rFonts w:hint="default" w:ascii="Times New Roman" w:hAnsi="Times New Roman" w:eastAsia="方正仿宋_GBK" w:cs="Times New Roman"/>
          <w:sz w:val="32"/>
          <w:szCs w:val="32"/>
          <w:shd w:val="clear" w:color="auto" w:fill="FFFFFF"/>
        </w:rPr>
        <w:t>万元，较上年决算数增加8.03万元，增长25.38%，主要原因是</w:t>
      </w:r>
      <w:r>
        <w:rPr>
          <w:rFonts w:hint="default" w:ascii="Times New Roman" w:hAnsi="Times New Roman" w:eastAsia="方正仿宋_GBK" w:cs="Times New Roman"/>
          <w:color w:val="auto"/>
          <w:sz w:val="32"/>
          <w:szCs w:val="32"/>
          <w:shd w:val="clear" w:color="auto" w:fill="FFFFFF"/>
          <w:lang w:val="en-US" w:eastAsia="zh-CN"/>
        </w:rPr>
        <w:t>2023年度我单位在职人员工资调标及补发以前年度职工应发未发待遇导致人员经费支出增加。</w:t>
      </w:r>
      <w:r>
        <w:rPr>
          <w:rFonts w:hint="default" w:ascii="Times New Roman" w:hAnsi="Times New Roman" w:eastAsia="方正仿宋_GBK" w:cs="Times New Roman"/>
          <w:sz w:val="32"/>
          <w:szCs w:val="32"/>
          <w:shd w:val="clear" w:color="auto" w:fill="FFFFFF"/>
        </w:rPr>
        <w:t>人员经费用途主要包</w:t>
      </w:r>
      <w:r>
        <w:rPr>
          <w:rFonts w:hint="default" w:ascii="Times New Roman" w:hAnsi="Times New Roman" w:eastAsia="方正仿宋_GBK" w:cs="Times New Roman"/>
          <w:color w:val="auto"/>
          <w:sz w:val="32"/>
          <w:szCs w:val="32"/>
          <w:shd w:val="clear" w:color="auto" w:fill="FFFFFF"/>
        </w:rPr>
        <w:t>括</w:t>
      </w:r>
      <w:r>
        <w:rPr>
          <w:rFonts w:hint="default" w:ascii="Times New Roman" w:hAnsi="Times New Roman" w:eastAsia="方正仿宋_GBK" w:cs="Times New Roman"/>
          <w:color w:val="auto"/>
          <w:sz w:val="32"/>
          <w:szCs w:val="32"/>
          <w:shd w:val="clear" w:color="auto" w:fill="FFFFFF"/>
        </w:rPr>
        <w:t>基本工资、津贴补贴、绩效工资、住房公积金、养老保险、职业年金、医疗保险、超额绩效。</w:t>
      </w:r>
      <w:r>
        <w:rPr>
          <w:rFonts w:hint="default" w:ascii="Times New Roman" w:hAnsi="Times New Roman" w:eastAsia="方正仿宋_GBK" w:cs="Times New Roman"/>
          <w:color w:val="auto"/>
          <w:sz w:val="32"/>
          <w:szCs w:val="32"/>
          <w:shd w:val="clear" w:color="auto" w:fill="FFFFFF"/>
        </w:rPr>
        <w:t>公用经费</w:t>
      </w:r>
      <w:r>
        <w:rPr>
          <w:rFonts w:hint="default" w:ascii="Times New Roman" w:hAnsi="Times New Roman" w:eastAsia="方正仿宋_GBK" w:cs="Times New Roman"/>
          <w:color w:val="auto"/>
          <w:sz w:val="32"/>
          <w:szCs w:val="32"/>
        </w:rPr>
        <w:t>4.09</w:t>
      </w:r>
      <w:r>
        <w:rPr>
          <w:rFonts w:hint="default" w:ascii="Times New Roman" w:hAnsi="Times New Roman" w:eastAsia="方正仿宋_GBK" w:cs="Times New Roman"/>
          <w:color w:val="auto"/>
          <w:sz w:val="32"/>
          <w:szCs w:val="32"/>
          <w:shd w:val="clear" w:color="auto" w:fill="FFFFFF"/>
        </w:rPr>
        <w:t>万元，较上年决算数减少0.82万元，下降16.70%，主要原因是</w:t>
      </w:r>
      <w:r>
        <w:rPr>
          <w:rFonts w:hint="default" w:ascii="Times New Roman" w:hAnsi="Times New Roman" w:eastAsia="方正仿宋_GBK" w:cs="Times New Roman"/>
          <w:color w:val="auto"/>
          <w:sz w:val="32"/>
          <w:szCs w:val="32"/>
          <w:shd w:val="clear" w:color="auto" w:fill="FFFFFF"/>
          <w:lang w:val="en-US" w:eastAsia="zh-CN"/>
        </w:rPr>
        <w:t>本年度我单位缩减开支，办公费、差旅费等支出减少。</w:t>
      </w:r>
      <w:r>
        <w:rPr>
          <w:rFonts w:hint="default" w:ascii="Times New Roman" w:hAnsi="Times New Roman" w:eastAsia="方正仿宋_GBK" w:cs="Times New Roman"/>
          <w:color w:val="auto"/>
          <w:sz w:val="32"/>
          <w:szCs w:val="32"/>
          <w:shd w:val="clear" w:color="auto" w:fill="FFFFFF"/>
        </w:rPr>
        <w:t>公用经费用途主要包括</w:t>
      </w:r>
      <w:r>
        <w:rPr>
          <w:rFonts w:hint="default" w:ascii="Times New Roman" w:hAnsi="Times New Roman" w:eastAsia="方正仿宋_GBK" w:cs="Times New Roman"/>
          <w:color w:val="auto"/>
          <w:sz w:val="32"/>
          <w:szCs w:val="32"/>
          <w:shd w:val="clear" w:color="auto" w:fill="FFFFFF"/>
        </w:rPr>
        <w:t>办公费、差旅费、水电费、邮电费、交通费、福利费、工会费等。</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（五）政府性基金预算收支决算情况说明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本单位2023年度无政府性基金预算财政拨款收支。</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（六）国有资本经营预算财政拨款支出决算情况说明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本单位2023年度无国有资本经营预算财政拨款支出。</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ind w:firstLine="643" w:firstLineChars="200"/>
        <w:textAlignment w:val="auto"/>
        <w:rPr>
          <w:rStyle w:val="10"/>
          <w:rFonts w:hint="default" w:ascii="Times New Roman" w:hAnsi="Times New Roman" w:eastAsia="黑体" w:cs="Times New Roman"/>
          <w:sz w:val="32"/>
          <w:szCs w:val="32"/>
          <w:shd w:val="clear" w:color="auto" w:fill="FFFFFF"/>
        </w:rPr>
      </w:pPr>
      <w:r>
        <w:rPr>
          <w:rStyle w:val="10"/>
          <w:rFonts w:hint="default" w:ascii="Times New Roman" w:hAnsi="Times New Roman" w:eastAsia="黑体" w:cs="Times New Roman"/>
          <w:sz w:val="32"/>
          <w:szCs w:val="32"/>
          <w:shd w:val="clear" w:color="auto" w:fill="FFFFFF"/>
        </w:rPr>
        <w:t>三、“三公”经费情况说明</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 xml:space="preserve"> （一）“三公”经费支出总体情况说明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shd w:val="clear" w:color="auto" w:fill="FFFFFF"/>
        </w:rPr>
        <w:t>2023年度</w:t>
      </w:r>
      <w:r>
        <w:rPr>
          <w:rFonts w:hint="default" w:ascii="Times New Roman" w:hAnsi="Times New Roman" w:eastAsia="方正仿宋_GBK" w:cs="Times New Roman"/>
          <w:sz w:val="32"/>
          <w:szCs w:val="32"/>
          <w:shd w:val="clear" w:color="auto" w:fill="FFFFFF"/>
          <w:lang w:val="en-US" w:eastAsia="zh-CN"/>
        </w:rPr>
        <w:t>本单位未产生</w:t>
      </w:r>
      <w:r>
        <w:rPr>
          <w:rFonts w:hint="default" w:ascii="Times New Roman" w:hAnsi="Times New Roman" w:eastAsia="方正仿宋_GBK" w:cs="Times New Roman"/>
          <w:sz w:val="32"/>
          <w:szCs w:val="32"/>
          <w:shd w:val="clear" w:color="auto" w:fill="FFFFFF"/>
        </w:rPr>
        <w:t>“三公”经费支出</w:t>
      </w:r>
      <w:r>
        <w:rPr>
          <w:rFonts w:hint="default" w:ascii="Times New Roman" w:hAnsi="Times New Roman" w:eastAsia="方正仿宋_GBK" w:cs="Times New Roman"/>
          <w:sz w:val="32"/>
          <w:szCs w:val="32"/>
          <w:shd w:val="clear" w:color="auto" w:fill="FFFFFF"/>
          <w:lang w:eastAsia="zh-CN"/>
        </w:rPr>
        <w:t>。</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（二）“三公”经费分项支出情况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shd w:val="clear" w:color="auto" w:fill="FFFFFF"/>
        </w:rPr>
        <w:t>2023年度本单位</w:t>
      </w:r>
      <w:r>
        <w:rPr>
          <w:rFonts w:hint="default" w:ascii="Times New Roman" w:hAnsi="Times New Roman" w:eastAsia="方正仿宋_GBK" w:cs="Times New Roman"/>
          <w:sz w:val="32"/>
          <w:szCs w:val="32"/>
          <w:shd w:val="clear" w:color="auto" w:fill="FFFFFF"/>
          <w:lang w:val="en-US" w:eastAsia="zh-CN"/>
        </w:rPr>
        <w:t>未产生</w:t>
      </w:r>
      <w:r>
        <w:rPr>
          <w:rFonts w:hint="default" w:ascii="Times New Roman" w:hAnsi="Times New Roman" w:eastAsia="方正仿宋_GBK" w:cs="Times New Roman"/>
          <w:sz w:val="32"/>
          <w:szCs w:val="32"/>
          <w:shd w:val="clear" w:color="auto" w:fill="FFFFFF"/>
        </w:rPr>
        <w:t>因公出国（境）</w:t>
      </w: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sz w:val="32"/>
          <w:szCs w:val="32"/>
          <w:shd w:val="clear" w:color="auto" w:fill="FFFFFF"/>
        </w:rPr>
        <w:t>公务车购置</w:t>
      </w: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sz w:val="32"/>
          <w:szCs w:val="32"/>
          <w:shd w:val="clear" w:color="auto" w:fill="FFFFFF"/>
        </w:rPr>
        <w:t>公务车运行维护</w:t>
      </w: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sz w:val="32"/>
          <w:szCs w:val="32"/>
          <w:shd w:val="clear" w:color="auto" w:fill="FFFFFF"/>
        </w:rPr>
        <w:t>公务接待</w:t>
      </w:r>
      <w:r>
        <w:rPr>
          <w:rFonts w:hint="default" w:ascii="Times New Roman" w:hAnsi="Times New Roman" w:eastAsia="方正仿宋_GBK" w:cs="Times New Roman"/>
          <w:sz w:val="32"/>
          <w:szCs w:val="32"/>
          <w:shd w:val="clear" w:color="auto" w:fill="FFFFFF"/>
          <w:lang w:val="en-US" w:eastAsia="zh-CN"/>
        </w:rPr>
        <w:t>等费用。</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（三）“三公”经费实物量情况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2023年度本单位因公出国（境）共计</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个团组，</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人；公务用车购置</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辆，公务车保有量为</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辆；国内公务接待</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批次</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人，其中：国内外事接待</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批次，</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人；国（境）外公务接待</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批次，</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人。2023年本单位人均接待费</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元，车均购置费</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万元，车均维护费</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万元。</w:t>
      </w:r>
    </w:p>
    <w:p>
      <w:pPr>
        <w:pStyle w:val="6"/>
        <w:keepNext w:val="0"/>
        <w:keepLines w:val="0"/>
        <w:pageBreakBefore w:val="0"/>
        <w:widowControl/>
        <w:shd w:val="clear" w:color="auto" w:fill="FFFFFF"/>
        <w:kinsoku/>
        <w:wordWrap/>
        <w:overflowPunct/>
        <w:topLinePunct w:val="0"/>
        <w:autoSpaceDN/>
        <w:bidi w:val="0"/>
        <w:adjustRightInd/>
        <w:spacing w:beforeAutospacing="0" w:after="0" w:afterAutospacing="0"/>
        <w:textAlignment w:val="auto"/>
        <w:rPr>
          <w:rStyle w:val="10"/>
          <w:rFonts w:hint="default" w:ascii="Times New Roman" w:hAnsi="Times New Roman" w:eastAsia="方正仿宋_GBK" w:cs="Times New Roman"/>
          <w:sz w:val="32"/>
          <w:szCs w:val="32"/>
          <w:shd w:val="clear" w:color="auto" w:fill="FFFFFF"/>
        </w:rPr>
      </w:pPr>
      <w:r>
        <w:rPr>
          <w:rStyle w:val="10"/>
          <w:rFonts w:hint="default" w:ascii="Times New Roman" w:hAnsi="Times New Roman" w:eastAsia="黑体" w:cs="Times New Roman"/>
          <w:sz w:val="32"/>
          <w:szCs w:val="32"/>
          <w:shd w:val="clear" w:color="auto" w:fill="FFFFFF"/>
        </w:rPr>
        <w:t>四、其他需要说明的事项</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（一）财政拨款会议费和培训费情况说明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本年度会议费支出</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万元，较上年决算数无增减，主要原因是</w:t>
      </w:r>
      <w:r>
        <w:rPr>
          <w:rFonts w:hint="default" w:ascii="Times New Roman" w:hAnsi="Times New Roman" w:eastAsia="方正仿宋_GBK" w:cs="Times New Roman"/>
          <w:sz w:val="32"/>
          <w:szCs w:val="32"/>
          <w:shd w:val="clear" w:color="auto" w:fill="FFFFFF"/>
          <w:lang w:val="en-US" w:eastAsia="zh-CN"/>
        </w:rPr>
        <w:t>本单位系小单位，不涉及大型会议召开，故财政未保障我单位会议费</w:t>
      </w:r>
      <w:r>
        <w:rPr>
          <w:rFonts w:hint="default" w:ascii="Times New Roman" w:hAnsi="Times New Roman" w:eastAsia="方正仿宋_GBK"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本年度培训费支出</w:t>
      </w:r>
      <w:r>
        <w:rPr>
          <w:rFonts w:hint="default" w:ascii="Times New Roman" w:hAnsi="Times New Roman" w:eastAsia="方正仿宋_GBK" w:cs="Times New Roman"/>
          <w:sz w:val="32"/>
          <w:szCs w:val="32"/>
        </w:rPr>
        <w:t>0.11</w:t>
      </w:r>
      <w:r>
        <w:rPr>
          <w:rFonts w:hint="default" w:ascii="Times New Roman" w:hAnsi="Times New Roman" w:eastAsia="方正仿宋_GBK" w:cs="Times New Roman"/>
          <w:sz w:val="32"/>
          <w:szCs w:val="32"/>
          <w:shd w:val="clear" w:color="auto" w:fill="FFFFFF"/>
        </w:rPr>
        <w:t>万元，较上年决算数无增减，主要原因是</w:t>
      </w:r>
      <w:r>
        <w:rPr>
          <w:rFonts w:hint="default" w:ascii="Times New Roman" w:hAnsi="Times New Roman" w:eastAsia="方正仿宋_GBK" w:cs="Times New Roman"/>
          <w:sz w:val="32"/>
          <w:szCs w:val="32"/>
          <w:shd w:val="clear" w:color="auto" w:fill="FFFFFF"/>
          <w:lang w:val="en-US" w:eastAsia="zh-CN"/>
        </w:rPr>
        <w:t>本单位严格控制培训费用支出，按照规定开展人员培训</w:t>
      </w:r>
      <w:r>
        <w:rPr>
          <w:rFonts w:hint="default" w:ascii="Times New Roman" w:hAnsi="Times New Roman" w:eastAsia="方正仿宋_GBK" w:cs="Times New Roman"/>
          <w:sz w:val="32"/>
          <w:szCs w:val="32"/>
          <w:shd w:val="clear" w:color="auto" w:fill="FFFFFF"/>
        </w:rPr>
        <w:t>。</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（二）机关运行经费情况说明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按照部门决算列报口径，我单位不在机关运行经费统计范围之内。</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（三）国有资产占用情况说明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截至2023年12月31日，本单位共有车辆</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辆，其中，副部（省）级及以上领导用车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辆、主要负责人用车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辆、机要通信用车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辆、应急保障用车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辆、执法执勤用车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辆，特种专业技术用车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辆，离退休干部用车</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辆。单价100万元（含）以上专用设备</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shd w:val="clear" w:color="auto" w:fill="FFFFFF"/>
        </w:rPr>
        <w:t>台（套）。</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（四）政府采购支出情况说明</w:t>
      </w: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color w:val="FF0000"/>
          <w:sz w:val="32"/>
          <w:szCs w:val="32"/>
          <w:shd w:val="clear" w:color="auto" w:fill="FFFFFF"/>
        </w:rPr>
      </w:pPr>
      <w:r>
        <w:rPr>
          <w:rFonts w:hint="default" w:ascii="Times New Roman" w:hAnsi="Times New Roman" w:eastAsia="方正仿宋_GBK" w:cs="Times New Roman"/>
          <w:sz w:val="32"/>
          <w:szCs w:val="32"/>
          <w:shd w:val="clear" w:color="auto" w:fill="FFFFFF"/>
        </w:rPr>
        <w:t>2023年度我单位未发生政府采购事项，无相关经费支出。</w:t>
      </w:r>
    </w:p>
    <w:p>
      <w:pPr>
        <w:pStyle w:val="6"/>
        <w:keepNext w:val="0"/>
        <w:keepLines w:val="0"/>
        <w:pageBreakBefore w:val="0"/>
        <w:widowControl/>
        <w:numPr>
          <w:numId w:val="0"/>
        </w:numPr>
        <w:shd w:val="clear" w:color="auto" w:fill="FFFFFF"/>
        <w:kinsoku/>
        <w:wordWrap/>
        <w:overflowPunct/>
        <w:topLinePunct w:val="0"/>
        <w:autoSpaceDE/>
        <w:autoSpaceDN/>
        <w:bidi w:val="0"/>
        <w:adjustRightInd/>
        <w:snapToGrid/>
        <w:spacing w:beforeAutospacing="0" w:after="0" w:afterAutospacing="0"/>
        <w:ind w:firstLine="643" w:firstLineChars="200"/>
        <w:textAlignment w:val="auto"/>
        <w:rPr>
          <w:rStyle w:val="10"/>
          <w:rFonts w:hint="default" w:ascii="Times New Roman" w:hAnsi="Times New Roman" w:eastAsia="黑体" w:cs="Times New Roman"/>
          <w:sz w:val="32"/>
          <w:szCs w:val="32"/>
          <w:shd w:val="clear" w:color="auto" w:fill="FFFFFF"/>
        </w:rPr>
      </w:pPr>
      <w:r>
        <w:rPr>
          <w:rStyle w:val="10"/>
          <w:rFonts w:hint="default" w:ascii="Times New Roman" w:hAnsi="Times New Roman" w:eastAsia="黑体" w:cs="Times New Roman"/>
          <w:sz w:val="32"/>
          <w:szCs w:val="32"/>
          <w:shd w:val="clear" w:color="auto" w:fill="FFFFFF"/>
          <w:lang w:val="en-US" w:eastAsia="zh-CN"/>
        </w:rPr>
        <w:t>五、</w:t>
      </w:r>
      <w:r>
        <w:rPr>
          <w:rStyle w:val="10"/>
          <w:rFonts w:hint="default" w:ascii="Times New Roman" w:hAnsi="Times New Roman" w:eastAsia="黑体" w:cs="Times New Roman"/>
          <w:sz w:val="32"/>
          <w:szCs w:val="32"/>
          <w:shd w:val="clear" w:color="auto" w:fill="FFFFFF"/>
        </w:rPr>
        <w:t>预算绩效管理情况说明</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（一）单位自评情况</w:t>
      </w:r>
    </w:p>
    <w:p>
      <w:pPr>
        <w:pStyle w:val="11"/>
        <w:keepNext w:val="0"/>
        <w:keepLines w:val="0"/>
        <w:pageBreakBefore w:val="0"/>
        <w:widowControl/>
        <w:kinsoku/>
        <w:wordWrap/>
        <w:overflowPunct/>
        <w:topLinePunct w:val="0"/>
        <w:autoSpaceDE w:val="0"/>
        <w:autoSpaceDN/>
        <w:bidi w:val="0"/>
        <w:adjustRightInd/>
        <w:spacing w:beforeAutospacing="0" w:afterAutospacing="0"/>
        <w:ind w:firstLine="643"/>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根据预算绩效管理要求，我单位对部门整体开展了绩效自评，涉及资金</w:t>
      </w:r>
      <w:r>
        <w:rPr>
          <w:rFonts w:hint="default" w:ascii="Times New Roman" w:hAnsi="Times New Roman" w:eastAsia="方正仿宋_GBK" w:cs="Times New Roman"/>
          <w:sz w:val="32"/>
          <w:szCs w:val="32"/>
          <w:shd w:val="clear" w:color="auto" w:fill="FFFFFF"/>
          <w:lang w:val="en-US" w:eastAsia="zh-CN"/>
        </w:rPr>
        <w:t>43.76</w:t>
      </w:r>
      <w:r>
        <w:rPr>
          <w:rFonts w:hint="default" w:ascii="Times New Roman" w:hAnsi="Times New Roman" w:eastAsia="方正仿宋_GBK" w:cs="Times New Roman"/>
          <w:sz w:val="32"/>
          <w:szCs w:val="32"/>
          <w:shd w:val="clear" w:color="auto" w:fill="FFFFFF"/>
        </w:rPr>
        <w:t>万元。</w:t>
      </w:r>
    </w:p>
    <w:p>
      <w:pPr>
        <w:pStyle w:val="12"/>
        <w:keepNext w:val="0"/>
        <w:keepLines w:val="0"/>
        <w:pageBreakBefore w:val="0"/>
        <w:widowControl/>
        <w:kinsoku/>
        <w:wordWrap/>
        <w:overflowPunct/>
        <w:topLinePunct w:val="0"/>
        <w:autoSpaceDE w:val="0"/>
        <w:autoSpaceDN/>
        <w:bidi w:val="0"/>
        <w:adjustRightInd/>
        <w:snapToGrid/>
        <w:spacing w:before="0" w:beforeAutospacing="0" w:after="0" w:afterAutospacing="0" w:line="600" w:lineRule="exact"/>
        <w:jc w:val="center"/>
        <w:textAlignment w:val="auto"/>
        <w:rPr>
          <w:rFonts w:hint="default" w:ascii="Times New Roman" w:hAnsi="Times New Roman" w:eastAsia="方正仿宋_GBK" w:cs="Times New Roman"/>
          <w:b/>
          <w:bCs/>
          <w:sz w:val="28"/>
          <w:szCs w:val="28"/>
          <w:shd w:val="clear" w:color="auto" w:fill="FFFFFF"/>
          <w:lang w:val="en-US" w:eastAsia="zh-CN"/>
        </w:rPr>
      </w:pPr>
      <w:r>
        <w:rPr>
          <w:rFonts w:hint="default" w:ascii="Times New Roman" w:hAnsi="Times New Roman" w:eastAsia="方正仿宋_GBK" w:cs="Times New Roman"/>
          <w:b/>
          <w:bCs/>
          <w:sz w:val="28"/>
          <w:szCs w:val="28"/>
          <w:shd w:val="clear" w:color="auto" w:fill="FFFFFF"/>
          <w:lang w:val="en-US" w:eastAsia="zh-CN"/>
        </w:rPr>
        <w:t>部门整体绩效目标自评表</w:t>
      </w:r>
    </w:p>
    <w:tbl>
      <w:tblPr>
        <w:tblW w:w="8220" w:type="dxa"/>
        <w:jc w:val="center"/>
        <w:tblInd w:w="62" w:type="dxa"/>
        <w:shd w:val="clear"/>
        <w:tblLayout w:type="fixed"/>
        <w:tblCellMar>
          <w:top w:w="0" w:type="dxa"/>
          <w:left w:w="0" w:type="dxa"/>
          <w:bottom w:w="0" w:type="dxa"/>
          <w:right w:w="0" w:type="dxa"/>
        </w:tblCellMar>
      </w:tblPr>
      <w:tblGrid>
        <w:gridCol w:w="900"/>
        <w:gridCol w:w="2040"/>
        <w:gridCol w:w="645"/>
        <w:gridCol w:w="615"/>
        <w:gridCol w:w="780"/>
        <w:gridCol w:w="1080"/>
        <w:gridCol w:w="1080"/>
        <w:gridCol w:w="1080"/>
      </w:tblGrid>
      <w:tr>
        <w:tblPrEx>
          <w:tblLayout w:type="fixed"/>
          <w:tblCellMar>
            <w:top w:w="0" w:type="dxa"/>
            <w:left w:w="0" w:type="dxa"/>
            <w:bottom w:w="0" w:type="dxa"/>
            <w:right w:w="0" w:type="dxa"/>
          </w:tblCellMar>
        </w:tblPrEx>
        <w:trPr>
          <w:trHeight w:val="945" w:hRule="atLeast"/>
          <w:jc w:val="center"/>
        </w:trPr>
        <w:tc>
          <w:tcPr>
            <w:tcW w:w="8220" w:type="dxa"/>
            <w:gridSpan w:val="8"/>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36"/>
                <w:szCs w:val="36"/>
                <w:u w:val="none"/>
              </w:rPr>
            </w:pPr>
            <w:r>
              <w:rPr>
                <w:rFonts w:hint="eastAsia" w:ascii="微软雅黑" w:hAnsi="微软雅黑" w:eastAsia="微软雅黑" w:cs="微软雅黑"/>
                <w:i w:val="0"/>
                <w:color w:val="000000"/>
                <w:kern w:val="0"/>
                <w:sz w:val="36"/>
                <w:szCs w:val="36"/>
                <w:u w:val="none"/>
                <w:bdr w:val="none" w:color="auto" w:sz="0" w:space="0"/>
                <w:lang w:val="en-US" w:eastAsia="zh-CN" w:bidi="ar"/>
              </w:rPr>
              <w:t>2023年部门（单位）整体绩效目标自评表</w:t>
            </w:r>
          </w:p>
        </w:tc>
      </w:tr>
      <w:tr>
        <w:tblPrEx>
          <w:tblLayout w:type="fixed"/>
          <w:tblCellMar>
            <w:top w:w="0" w:type="dxa"/>
            <w:left w:w="0" w:type="dxa"/>
            <w:bottom w:w="0" w:type="dxa"/>
            <w:right w:w="0" w:type="dxa"/>
          </w:tblCellMar>
        </w:tblPrEx>
        <w:trPr>
          <w:trHeight w:val="1170" w:hRule="atLeast"/>
          <w:jc w:val="center"/>
        </w:trPr>
        <w:tc>
          <w:tcPr>
            <w:tcW w:w="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部门（单位）名称</w:t>
            </w: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忠县兴峰乡退役军人服务站</w:t>
            </w:r>
          </w:p>
        </w:tc>
        <w:tc>
          <w:tcPr>
            <w:tcW w:w="1260" w:type="dxa"/>
            <w:gridSpan w:val="2"/>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预算支出总量（万元）</w:t>
            </w:r>
          </w:p>
        </w:tc>
        <w:tc>
          <w:tcPr>
            <w:tcW w:w="1860" w:type="dxa"/>
            <w:gridSpan w:val="2"/>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43.76</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实际支出总量（万元）</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43.76</w:t>
            </w:r>
          </w:p>
        </w:tc>
      </w:tr>
      <w:tr>
        <w:tblPrEx>
          <w:shd w:val="clear"/>
          <w:tblLayout w:type="fixed"/>
          <w:tblCellMar>
            <w:top w:w="0" w:type="dxa"/>
            <w:left w:w="0" w:type="dxa"/>
            <w:bottom w:w="0" w:type="dxa"/>
            <w:right w:w="0" w:type="dxa"/>
          </w:tblCellMar>
        </w:tblPrEx>
        <w:trPr>
          <w:trHeight w:val="495" w:hRule="atLeast"/>
          <w:jc w:val="center"/>
        </w:trPr>
        <w:tc>
          <w:tcPr>
            <w:tcW w:w="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年初设定目标</w:t>
            </w:r>
          </w:p>
        </w:tc>
        <w:tc>
          <w:tcPr>
            <w:tcW w:w="3240" w:type="dxa"/>
            <w:gridSpan w:val="3"/>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全年实际完成情况</w:t>
            </w:r>
          </w:p>
        </w:tc>
      </w:tr>
      <w:tr>
        <w:tblPrEx>
          <w:tblLayout w:type="fixed"/>
          <w:tblCellMar>
            <w:top w:w="0" w:type="dxa"/>
            <w:left w:w="0" w:type="dxa"/>
            <w:bottom w:w="0" w:type="dxa"/>
            <w:right w:w="0" w:type="dxa"/>
          </w:tblCellMar>
        </w:tblPrEx>
        <w:trPr>
          <w:trHeight w:val="1040" w:hRule="atLeast"/>
          <w:jc w:val="center"/>
        </w:trPr>
        <w:tc>
          <w:tcPr>
            <w:tcW w:w="90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当年整体绩效目标</w:t>
            </w:r>
          </w:p>
        </w:tc>
        <w:tc>
          <w:tcPr>
            <w:tcW w:w="4080" w:type="dxa"/>
            <w:gridSpan w:val="4"/>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none" w:color="auto" w:sz="0" w:space="0"/>
                <w:lang w:val="en-US" w:eastAsia="zh-CN" w:bidi="ar"/>
              </w:rPr>
              <w:t>落实退役军人优抚安置政策，覆盖退役军人100%；提供政策咨询、帮扶援助、维护退役军人合法权益，覆盖率100%；开展八一、春节等重大节日慰问，覆盖优抚对象人员100%；退役军人信息数据采集率100%；开展来信来访、教育管理、政策解答、舆情收集等接待无遗漏，重大信访案件控制为0。</w:t>
            </w:r>
          </w:p>
        </w:tc>
        <w:tc>
          <w:tcPr>
            <w:tcW w:w="3240" w:type="dxa"/>
            <w:gridSpan w:val="3"/>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我单位2023年绩效目标完成情况：落实退役军人优抚安置覆盖率100%；提供政策咨询、帮扶援助、维护退役军人合法权益覆盖率100%；开展八一、春节等重大节日慰问，发放优抚待遇覆盖优抚对象100%；退役军人信息数据采集率100%；来信来访人员接待率100%，全年无重大信访案件。</w:t>
            </w: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shd w:val="clear"/>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22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4080" w:type="dxa"/>
            <w:gridSpan w:val="4"/>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900" w:hRule="atLeast"/>
          <w:jc w:val="center"/>
        </w:trPr>
        <w:tc>
          <w:tcPr>
            <w:tcW w:w="90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绩效指标</w:t>
            </w: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指标</w:t>
            </w:r>
          </w:p>
        </w:tc>
        <w:tc>
          <w:tcPr>
            <w:tcW w:w="6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指标权重</w:t>
            </w:r>
          </w:p>
        </w:tc>
        <w:tc>
          <w:tcPr>
            <w:tcW w:w="6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计量单位</w:t>
            </w:r>
          </w:p>
        </w:tc>
        <w:tc>
          <w:tcPr>
            <w:tcW w:w="7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指标性质</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指标值</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实际完成指标值</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bdr w:val="none" w:color="auto" w:sz="0" w:space="0"/>
                <w:lang w:val="en-US" w:eastAsia="zh-CN" w:bidi="ar"/>
              </w:rPr>
              <w:t>未完成原因和改进措施</w:t>
            </w:r>
          </w:p>
        </w:tc>
      </w:tr>
      <w:tr>
        <w:tblPrEx>
          <w:tblLayout w:type="fixed"/>
          <w:tblCellMar>
            <w:top w:w="0" w:type="dxa"/>
            <w:left w:w="0" w:type="dxa"/>
            <w:bottom w:w="0" w:type="dxa"/>
            <w:right w:w="0" w:type="dxa"/>
          </w:tblCellMar>
        </w:tblPrEx>
        <w:trPr>
          <w:trHeight w:val="64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落实退役军人优抚安置政策覆盖率</w:t>
            </w:r>
          </w:p>
        </w:tc>
        <w:tc>
          <w:tcPr>
            <w:tcW w:w="64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30</w:t>
            </w:r>
          </w:p>
        </w:tc>
        <w:tc>
          <w:tcPr>
            <w:tcW w:w="6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78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提供政策咨询、帮扶援助、维护退役军人合法权益覆盖率</w:t>
            </w:r>
          </w:p>
        </w:tc>
        <w:tc>
          <w:tcPr>
            <w:tcW w:w="64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25</w:t>
            </w:r>
          </w:p>
        </w:tc>
        <w:tc>
          <w:tcPr>
            <w:tcW w:w="6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78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开展八一、春节等重大节日慰问，发放优抚待遇，优抚对象人员覆盖率</w:t>
            </w:r>
          </w:p>
        </w:tc>
        <w:tc>
          <w:tcPr>
            <w:tcW w:w="64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15</w:t>
            </w:r>
          </w:p>
        </w:tc>
        <w:tc>
          <w:tcPr>
            <w:tcW w:w="6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tblLayout w:type="fixed"/>
          <w:tblCellMar>
            <w:top w:w="0" w:type="dxa"/>
            <w:left w:w="0" w:type="dxa"/>
            <w:bottom w:w="0" w:type="dxa"/>
            <w:right w:w="0" w:type="dxa"/>
          </w:tblCellMar>
        </w:tblPrEx>
        <w:trPr>
          <w:trHeight w:val="54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退役军人信息数据采集率率</w:t>
            </w:r>
          </w:p>
        </w:tc>
        <w:tc>
          <w:tcPr>
            <w:tcW w:w="64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15</w:t>
            </w:r>
          </w:p>
        </w:tc>
        <w:tc>
          <w:tcPr>
            <w:tcW w:w="6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54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20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来信来访人员接待率</w:t>
            </w:r>
          </w:p>
        </w:tc>
        <w:tc>
          <w:tcPr>
            <w:tcW w:w="64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15</w:t>
            </w:r>
          </w:p>
        </w:tc>
        <w:tc>
          <w:tcPr>
            <w:tcW w:w="6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次</w:t>
            </w: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pStyle w:val="11"/>
        <w:keepNext w:val="0"/>
        <w:keepLines w:val="0"/>
        <w:pageBreakBefore w:val="0"/>
        <w:widowControl/>
        <w:kinsoku/>
        <w:wordWrap/>
        <w:overflowPunct/>
        <w:topLinePunct w:val="0"/>
        <w:autoSpaceDE w:val="0"/>
        <w:autoSpaceDN/>
        <w:bidi w:val="0"/>
        <w:adjustRightInd/>
        <w:snapToGrid/>
        <w:spacing w:before="313" w:beforeLines="100"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（二）单位绩效评价情况</w:t>
      </w:r>
    </w:p>
    <w:p>
      <w:pPr>
        <w:pStyle w:val="14"/>
        <w:keepNext w:val="0"/>
        <w:keepLines w:val="0"/>
        <w:pageBreakBefore w:val="0"/>
        <w:widowControl/>
        <w:kinsoku/>
        <w:wordWrap/>
        <w:overflowPunct/>
        <w:topLinePunct w:val="0"/>
        <w:autoSpaceDE w:val="0"/>
        <w:autoSpaceDN/>
        <w:bidi w:val="0"/>
        <w:adjustRightInd/>
        <w:snapToGrid/>
        <w:spacing w:beforeAutospacing="0" w:afterAutospacing="0"/>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我单位未组织开展绩效评价。</w:t>
      </w:r>
    </w:p>
    <w:p>
      <w:pPr>
        <w:pStyle w:val="11"/>
        <w:keepNext w:val="0"/>
        <w:keepLines w:val="0"/>
        <w:pageBreakBefore w:val="0"/>
        <w:widowControl/>
        <w:kinsoku/>
        <w:wordWrap/>
        <w:overflowPunct/>
        <w:topLinePunct w:val="0"/>
        <w:autoSpaceDE w:val="0"/>
        <w:autoSpaceDN/>
        <w:bidi w:val="0"/>
        <w:adjustRightInd/>
        <w:snapToGrid/>
        <w:spacing w:beforeAutospacing="0" w:afterAutospacing="0"/>
        <w:ind w:firstLine="643"/>
        <w:textAlignment w:val="auto"/>
        <w:rPr>
          <w:rFonts w:hint="default" w:ascii="Times New Roman" w:hAnsi="Times New Roman" w:eastAsia="楷体" w:cs="Times New Roman"/>
          <w:b/>
          <w:bCs/>
          <w:sz w:val="32"/>
          <w:szCs w:val="32"/>
          <w:shd w:val="clear" w:color="auto" w:fill="FFFFFF"/>
        </w:rPr>
      </w:pPr>
      <w:r>
        <w:rPr>
          <w:rFonts w:hint="default" w:ascii="Times New Roman" w:hAnsi="Times New Roman" w:eastAsia="楷体" w:cs="Times New Roman"/>
          <w:b/>
          <w:bCs/>
          <w:sz w:val="32"/>
          <w:szCs w:val="32"/>
          <w:shd w:val="clear" w:color="auto" w:fill="FFFFFF"/>
        </w:rPr>
        <w:t>（三）财政绩效评价情况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0" w:firstLineChars="200"/>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市财政局未委托第三方对我单位开展绩效评价。</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43" w:firstLineChars="200"/>
        <w:textAlignment w:val="auto"/>
        <w:rPr>
          <w:rStyle w:val="10"/>
          <w:rFonts w:hint="default" w:ascii="Times New Roman" w:hAnsi="Times New Roman" w:eastAsia="方正仿宋_GBK" w:cs="Times New Roman"/>
          <w:sz w:val="32"/>
          <w:szCs w:val="32"/>
          <w:shd w:val="clear" w:color="auto" w:fill="FFFFFF"/>
        </w:rPr>
      </w:pPr>
      <w:r>
        <w:rPr>
          <w:rStyle w:val="10"/>
          <w:rFonts w:hint="default" w:ascii="Times New Roman" w:hAnsi="Times New Roman" w:eastAsia="黑体" w:cs="Times New Roman"/>
          <w:sz w:val="32"/>
          <w:szCs w:val="32"/>
          <w:shd w:val="clear" w:color="auto" w:fill="FFFFFF"/>
        </w:rPr>
        <w:t>六、专业名词解释</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楷体" w:cs="Times New Roman"/>
          <w:b/>
          <w:bCs/>
          <w:sz w:val="32"/>
          <w:szCs w:val="32"/>
          <w:shd w:val="clear" w:color="auto" w:fill="FFFFFF"/>
        </w:rPr>
        <w:t>（一）财政拨款收入：</w:t>
      </w:r>
      <w:r>
        <w:rPr>
          <w:rFonts w:hint="default" w:ascii="Times New Roman" w:hAnsi="Times New Roman" w:eastAsia="方正仿宋_GBK" w:cs="Times New Roman"/>
          <w:sz w:val="32"/>
          <w:szCs w:val="32"/>
          <w:shd w:val="clear" w:color="auto" w:fill="FFFFFF"/>
        </w:rPr>
        <w:t>指本年度从本级财政部门取得的财政拨款，包括一般公共预算财政拨款和政府性基金预算财政拨款。</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（二）事业收入</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指事业单位开展专业业务活动及其辅助活动取得的现金流入；事业单位收到的财政专户实际核拨的教育收费等资金在此反映。</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（三）经营收入</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指事业单位在专业业务活动及其辅助活动之外开展非独立核算经营活动取得的现金流入。</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（四）其他收入</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（五）使用非财政拨款结余</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（六）年初结转和结余</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指单位上年结转本年使用的基本支出结转、项目支出结转和结余、经营结余。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（七）结余分配</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指单位按照国家有关规定，缴纳所得税、提取专用基金、转入非财政拨款结余等当年结余的分配情况。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（八）年末结转和结余</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指单位结转下年的基本支出结转、项目支出结转和结余、经营结余。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（九）基本支出</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（十）项目支出</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指在基本支出之外为完成特定行政任务和事业发展目标所发生的支出。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（十一）经营支出</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指事业单位在专业业务活动及其辅助活动之外开展非独立核算经营活动发生的支出。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（十二）“三公”经费</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（十三）机关运行经费</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（十四）工资福利支出（支出经济分类科目类级）</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反映单位开支的在职职工和编制外长期聘用人员的各类劳动报酬，以及为上述人员缴纳的各项社会保险费等。</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（十五）商品和服务支出（支出经济分类科目类级）</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反映单位购买商品和服务的支出（不包括用于购置固定资产的支出、战略性和应急储备支出）。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（十六）对个人和家庭的补助（支出经济分类科目类级）</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反映用于对个人和家庭的补助支出。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600"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楷体" w:cs="Times New Roman"/>
          <w:sz w:val="32"/>
          <w:szCs w:val="32"/>
          <w:shd w:val="clear" w:color="auto" w:fill="FFFFFF"/>
        </w:rPr>
        <w:t>（十七）其他资本性支出（支出经济分类科目类级）</w:t>
      </w:r>
      <w:r>
        <w:rPr>
          <w:rFonts w:hint="default" w:ascii="Times New Roman" w:hAnsi="Times New Roman" w:eastAsia="楷体" w:cs="Times New Roman"/>
          <w:sz w:val="32"/>
          <w:szCs w:val="32"/>
          <w:shd w:val="clear" w:color="auto" w:fill="FFFFFF"/>
        </w:rPr>
        <w:t>：</w:t>
      </w:r>
      <w:r>
        <w:rPr>
          <w:rFonts w:hint="default" w:ascii="Times New Roman" w:hAnsi="Times New Roman" w:eastAsia="方正仿宋_GBK" w:cs="Times New Roman"/>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keepNext w:val="0"/>
        <w:keepLines w:val="0"/>
        <w:pageBreakBefore w:val="0"/>
        <w:widowControl/>
        <w:shd w:val="clear" w:color="auto" w:fill="FFFFFF"/>
        <w:kinsoku/>
        <w:wordWrap/>
        <w:overflowPunct/>
        <w:topLinePunct w:val="0"/>
        <w:autoSpaceDN/>
        <w:bidi w:val="0"/>
        <w:adjustRightInd/>
        <w:snapToGrid/>
        <w:spacing w:before="0" w:beforeAutospacing="0" w:after="0" w:afterAutospacing="0"/>
        <w:ind w:firstLine="643" w:firstLineChars="200"/>
        <w:textAlignment w:val="auto"/>
        <w:rPr>
          <w:rStyle w:val="10"/>
          <w:rFonts w:hint="default" w:ascii="Times New Roman" w:hAnsi="Times New Roman" w:eastAsia="方正仿宋_GBK" w:cs="Times New Roman"/>
          <w:sz w:val="32"/>
          <w:szCs w:val="32"/>
          <w:shd w:val="clear" w:color="auto" w:fill="FFFFFF"/>
        </w:rPr>
      </w:pPr>
      <w:r>
        <w:rPr>
          <w:rStyle w:val="10"/>
          <w:rFonts w:hint="default" w:ascii="Times New Roman" w:hAnsi="Times New Roman" w:eastAsia="黑体" w:cs="Times New Roman"/>
          <w:sz w:val="32"/>
          <w:szCs w:val="32"/>
          <w:shd w:val="clear" w:color="auto" w:fill="FFFFFF"/>
        </w:rPr>
        <w:t>七、决算公开联系方式及信息反馈渠道</w:t>
      </w:r>
    </w:p>
    <w:p>
      <w:pPr>
        <w:pStyle w:val="11"/>
        <w:keepNext w:val="0"/>
        <w:keepLines w:val="0"/>
        <w:pageBreakBefore w:val="0"/>
        <w:widowControl/>
        <w:kinsoku/>
        <w:wordWrap/>
        <w:overflowPunct/>
        <w:topLinePunct w:val="0"/>
        <w:autoSpaceDE w:val="0"/>
        <w:autoSpaceDN/>
        <w:bidi w:val="0"/>
        <w:adjustRightInd/>
        <w:snapToGrid/>
        <w:spacing w:beforeAutospacing="0" w:afterAutospacing="0"/>
        <w:ind w:firstLine="640" w:firstLineChars="200"/>
        <w:textAlignment w:val="auto"/>
        <w:rPr>
          <w:rStyle w:val="10"/>
          <w:rFonts w:hint="default" w:ascii="Times New Roman" w:hAnsi="Times New Roman" w:eastAsia="方正仿宋_GBK" w:cs="Times New Roman"/>
          <w:sz w:val="32"/>
          <w:szCs w:val="32"/>
          <w:shd w:val="clear" w:color="auto" w:fill="FFFF00"/>
          <w:lang w:val="en-US" w:eastAsia="zh-CN"/>
        </w:rPr>
        <w:sectPr>
          <w:footerReference r:id="rId3" w:type="default"/>
          <w:pgSz w:w="11915" w:h="16840"/>
          <w:pgMar w:top="1440" w:right="1800" w:bottom="1440" w:left="1800" w:header="851" w:footer="992" w:gutter="0"/>
          <w:pgNumType w:fmt="numberInDash"/>
          <w:cols w:space="720" w:num="1"/>
          <w:docGrid w:type="lines" w:linePitch="312" w:charSpace="0"/>
        </w:sectPr>
      </w:pPr>
      <w:r>
        <w:rPr>
          <w:rFonts w:hint="default" w:ascii="Times New Roman" w:hAnsi="Times New Roman" w:eastAsia="方正仿宋_GBK" w:cs="Times New Roman"/>
          <w:sz w:val="32"/>
          <w:szCs w:val="32"/>
          <w:shd w:val="clear" w:color="auto" w:fill="FFFFFF"/>
        </w:rPr>
        <w:t>本单位决算公开信息反馈和联系方式：</w:t>
      </w:r>
      <w:r>
        <w:rPr>
          <w:rFonts w:hint="default" w:ascii="Times New Roman" w:hAnsi="Times New Roman" w:eastAsia="方正仿宋_GBK" w:cs="Times New Roman"/>
          <w:sz w:val="32"/>
          <w:szCs w:val="32"/>
          <w:shd w:val="clear" w:color="auto" w:fill="FFFFFF"/>
          <w:lang w:val="en-US" w:eastAsia="zh-CN"/>
        </w:rPr>
        <w:t>023-54</w:t>
      </w:r>
      <w:r>
        <w:rPr>
          <w:rFonts w:hint="eastAsia" w:ascii="Times New Roman" w:hAnsi="Times New Roman" w:eastAsia="方正仿宋_GBK" w:cs="Times New Roman"/>
          <w:sz w:val="32"/>
          <w:szCs w:val="32"/>
          <w:shd w:val="clear" w:color="auto" w:fill="FFFFFF"/>
          <w:lang w:val="en-US" w:eastAsia="zh-CN"/>
        </w:rPr>
        <w:t>569008</w:t>
      </w:r>
    </w:p>
    <w:p>
      <w:pPr>
        <w:rPr>
          <w:rFonts w:hint="default" w:cs="宋体"/>
          <w:sz w:val="21"/>
          <w:szCs w:val="21"/>
        </w:rPr>
      </w:pPr>
    </w:p>
    <w:tbl>
      <w:tblPr>
        <w:tblStyle w:val="7"/>
        <w:tblW w:w="15393" w:type="dxa"/>
        <w:tblInd w:w="0" w:type="dxa"/>
        <w:tblLayout w:type="fixed"/>
        <w:tblCellMar>
          <w:top w:w="0" w:type="dxa"/>
          <w:left w:w="0" w:type="dxa"/>
          <w:bottom w:w="0" w:type="dxa"/>
          <w:right w:w="0" w:type="dxa"/>
        </w:tblCellMar>
      </w:tblPr>
      <w:tblGrid>
        <w:gridCol w:w="5122"/>
        <w:gridCol w:w="2020"/>
        <w:gridCol w:w="4809"/>
        <w:gridCol w:w="3442"/>
      </w:tblGrid>
      <w:tr>
        <w:tblPrEx>
          <w:tblLayout w:type="fixed"/>
          <w:tblCellMar>
            <w:top w:w="0" w:type="dxa"/>
            <w:left w:w="0" w:type="dxa"/>
            <w:bottom w:w="0" w:type="dxa"/>
            <w:right w:w="0" w:type="dxa"/>
          </w:tblCellMar>
        </w:tblPrEx>
        <w:trPr>
          <w:trHeight w:val="232" w:hRule="atLeast"/>
        </w:trPr>
        <w:tc>
          <w:tcPr>
            <w:tcW w:w="15393" w:type="dxa"/>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Layout w:type="fixed"/>
          <w:tblCellMar>
            <w:top w:w="0" w:type="dxa"/>
            <w:left w:w="0" w:type="dxa"/>
            <w:bottom w:w="0" w:type="dxa"/>
            <w:right w:w="0" w:type="dxa"/>
          </w:tblCellMar>
        </w:tblPrEx>
        <w:trPr>
          <w:trHeight w:val="232" w:hRule="atLeast"/>
        </w:trPr>
        <w:tc>
          <w:tcPr>
            <w:tcW w:w="5122"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2020" w:type="dxa"/>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Layout w:type="fixed"/>
          <w:tblCellMar>
            <w:top w:w="0" w:type="dxa"/>
            <w:left w:w="0" w:type="dxa"/>
            <w:bottom w:w="0" w:type="dxa"/>
            <w:right w:w="0" w:type="dxa"/>
          </w:tblCellMar>
        </w:tblPrEx>
        <w:trPr>
          <w:trHeight w:val="232" w:hRule="atLeast"/>
        </w:trPr>
        <w:tc>
          <w:tcPr>
            <w:tcW w:w="7142" w:type="dxa"/>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重庆市忠县兴峰乡退役军人服务站</w:t>
            </w: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243" w:hRule="atLeast"/>
        </w:trPr>
        <w:tc>
          <w:tcPr>
            <w:tcW w:w="71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8251"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202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3442"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43.76</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0.11</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2020" w:type="dxa"/>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40.15</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1.71</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1.79</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43.76</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43.76</w:t>
            </w: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3442"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25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43.76</w:t>
            </w:r>
            <w:r>
              <w:rPr>
                <w:color w:val="000000"/>
                <w:sz w:val="20"/>
                <w:u w:color="auto"/>
              </w:rPr>
              <w:t xml:space="preserve"> </w:t>
            </w:r>
          </w:p>
        </w:tc>
        <w:tc>
          <w:tcPr>
            <w:tcW w:w="4809"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344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43.76</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15378" w:type="dxa"/>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Layout w:type="fixed"/>
          <w:tblCellMar>
            <w:top w:w="0" w:type="dxa"/>
            <w:left w:w="0" w:type="dxa"/>
            <w:bottom w:w="0" w:type="dxa"/>
            <w:right w:w="0" w:type="dxa"/>
          </w:tblCellMar>
        </w:tblPrEx>
        <w:trPr>
          <w:trHeight w:val="641" w:hRule="atLeast"/>
        </w:trPr>
        <w:tc>
          <w:tcPr>
            <w:tcW w:w="15378" w:type="dxa"/>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Layout w:type="fixed"/>
          <w:tblCellMar>
            <w:top w:w="0" w:type="dxa"/>
            <w:left w:w="0" w:type="dxa"/>
            <w:bottom w:w="0" w:type="dxa"/>
            <w:right w:w="0" w:type="dxa"/>
          </w:tblCellMar>
        </w:tblPrEx>
        <w:trPr>
          <w:trHeight w:val="328" w:hRule="atLeast"/>
        </w:trPr>
        <w:tc>
          <w:tcPr>
            <w:tcW w:w="6106"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重庆市忠县兴峰乡退役军人服务站</w:t>
            </w: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Layout w:type="fixed"/>
          <w:tblCellMar>
            <w:top w:w="0" w:type="dxa"/>
            <w:left w:w="0" w:type="dxa"/>
            <w:bottom w:w="0" w:type="dxa"/>
            <w:right w:w="0" w:type="dxa"/>
          </w:tblCellMar>
        </w:tblPrEx>
        <w:trPr>
          <w:trHeight w:val="328" w:hRule="atLeast"/>
        </w:trPr>
        <w:tc>
          <w:tcPr>
            <w:tcW w:w="6106"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431" w:hRule="atLeast"/>
        </w:trPr>
        <w:tc>
          <w:tcPr>
            <w:tcW w:w="4873"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259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13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14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146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Layout w:type="fixed"/>
          <w:tblCellMar>
            <w:top w:w="0" w:type="dxa"/>
            <w:left w:w="0" w:type="dxa"/>
            <w:bottom w:w="0" w:type="dxa"/>
            <w:right w:w="0" w:type="dxa"/>
          </w:tblCellMar>
        </w:tblPrEx>
        <w:trPr>
          <w:trHeight w:val="334" w:hRule="atLeast"/>
        </w:trPr>
        <w:tc>
          <w:tcPr>
            <w:tcW w:w="170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171"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4873"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43.76</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43.76</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40.15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40.15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3.33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3.33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20828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退役军人管理事务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36.82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36.82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2082850</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36.82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36.82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15378" w:type="dxa"/>
        <w:tblInd w:w="0" w:type="dxa"/>
        <w:tblLayout w:type="fixed"/>
        <w:tblCellMar>
          <w:top w:w="0" w:type="dxa"/>
          <w:left w:w="0" w:type="dxa"/>
          <w:bottom w:w="0" w:type="dxa"/>
          <w:right w:w="0" w:type="dxa"/>
        </w:tblCellMar>
      </w:tblPr>
      <w:tblGrid>
        <w:gridCol w:w="1803"/>
        <w:gridCol w:w="3355"/>
        <w:gridCol w:w="1701"/>
        <w:gridCol w:w="1701"/>
        <w:gridCol w:w="1701"/>
        <w:gridCol w:w="1685"/>
        <w:gridCol w:w="1685"/>
        <w:gridCol w:w="1747"/>
      </w:tblGrid>
      <w:tr>
        <w:tblPrEx>
          <w:tblLayout w:type="fixed"/>
          <w:tblCellMar>
            <w:top w:w="0" w:type="dxa"/>
            <w:left w:w="0" w:type="dxa"/>
            <w:bottom w:w="0" w:type="dxa"/>
            <w:right w:w="0" w:type="dxa"/>
          </w:tblCellMar>
        </w:tblPrEx>
        <w:trPr>
          <w:trHeight w:val="65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Layout w:type="fixed"/>
          <w:tblCellMar>
            <w:top w:w="0" w:type="dxa"/>
            <w:left w:w="0" w:type="dxa"/>
            <w:bottom w:w="0" w:type="dxa"/>
            <w:right w:w="0" w:type="dxa"/>
          </w:tblCellMar>
        </w:tblPrEx>
        <w:trPr>
          <w:trHeight w:val="342" w:hRule="atLeast"/>
        </w:trPr>
        <w:tc>
          <w:tcPr>
            <w:tcW w:w="685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重庆市忠县兴峰乡退役军人服务站 </w:t>
            </w: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Layout w:type="fixed"/>
          <w:tblCellMar>
            <w:top w:w="0" w:type="dxa"/>
            <w:left w:w="0" w:type="dxa"/>
            <w:bottom w:w="0" w:type="dxa"/>
            <w:right w:w="0" w:type="dxa"/>
          </w:tblCellMar>
        </w:tblPrEx>
        <w:trPr>
          <w:trHeight w:val="342" w:hRule="atLeast"/>
        </w:trPr>
        <w:tc>
          <w:tcPr>
            <w:tcW w:w="685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174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Layout w:type="fixed"/>
          <w:tblCellMar>
            <w:top w:w="0" w:type="dxa"/>
            <w:left w:w="0" w:type="dxa"/>
            <w:bottom w:w="0" w:type="dxa"/>
            <w:right w:w="0" w:type="dxa"/>
          </w:tblCellMar>
        </w:tblPrEx>
        <w:trPr>
          <w:trHeight w:val="338" w:hRule="atLeast"/>
        </w:trPr>
        <w:tc>
          <w:tcPr>
            <w:tcW w:w="1803"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355"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43.76</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43.76</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4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40.15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40.15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3.33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3.33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20828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退役军人管理事务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36.82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36.82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2082850</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36.82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36.82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1.79</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14732" w:type="dxa"/>
        <w:tblInd w:w="0" w:type="dxa"/>
        <w:tblLayout w:type="fixed"/>
        <w:tblCellMar>
          <w:top w:w="0" w:type="dxa"/>
          <w:left w:w="0" w:type="dxa"/>
          <w:bottom w:w="0" w:type="dxa"/>
          <w:right w:w="0" w:type="dxa"/>
        </w:tblCellMar>
      </w:tblPr>
      <w:tblGrid>
        <w:gridCol w:w="2979"/>
        <w:gridCol w:w="1526"/>
        <w:gridCol w:w="3191"/>
        <w:gridCol w:w="1700"/>
        <w:gridCol w:w="1700"/>
        <w:gridCol w:w="1700"/>
        <w:gridCol w:w="1936"/>
      </w:tblGrid>
      <w:tr>
        <w:tblPrEx>
          <w:tblLayout w:type="fixed"/>
          <w:tblCellMar>
            <w:top w:w="0" w:type="dxa"/>
            <w:left w:w="0" w:type="dxa"/>
            <w:bottom w:w="0" w:type="dxa"/>
            <w:right w:w="0" w:type="dxa"/>
          </w:tblCellMar>
        </w:tblPrEx>
        <w:trPr>
          <w:trHeight w:val="90" w:hRule="atLeast"/>
        </w:trPr>
        <w:tc>
          <w:tcPr>
            <w:tcW w:w="14732" w:type="dxa"/>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Layout w:type="fixed"/>
          <w:tblCellMar>
            <w:top w:w="0" w:type="dxa"/>
            <w:left w:w="0" w:type="dxa"/>
            <w:bottom w:w="0" w:type="dxa"/>
            <w:right w:w="0" w:type="dxa"/>
          </w:tblCellMar>
        </w:tblPrEx>
        <w:trPr>
          <w:trHeight w:val="90" w:hRule="atLeast"/>
        </w:trPr>
        <w:tc>
          <w:tcPr>
            <w:tcW w:w="7696" w:type="dxa"/>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重庆市忠县兴峰乡退役军人服务站</w:t>
            </w: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Layout w:type="fixed"/>
          <w:tblCellMar>
            <w:top w:w="0" w:type="dxa"/>
            <w:left w:w="0" w:type="dxa"/>
            <w:bottom w:w="0" w:type="dxa"/>
            <w:right w:w="0" w:type="dxa"/>
          </w:tblCellMar>
        </w:tblPrEx>
        <w:trPr>
          <w:trHeight w:val="90" w:hRule="atLeast"/>
        </w:trPr>
        <w:tc>
          <w:tcPr>
            <w:tcW w:w="7696" w:type="dxa"/>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90" w:hRule="atLeast"/>
        </w:trPr>
        <w:tc>
          <w:tcPr>
            <w:tcW w:w="4505"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10227"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Layout w:type="fixed"/>
          <w:tblCellMar>
            <w:top w:w="0" w:type="dxa"/>
            <w:left w:w="0" w:type="dxa"/>
            <w:bottom w:w="0" w:type="dxa"/>
            <w:right w:w="0" w:type="dxa"/>
          </w:tblCellMar>
        </w:tblPrEx>
        <w:trPr>
          <w:trHeight w:val="90" w:hRule="atLeast"/>
        </w:trPr>
        <w:tc>
          <w:tcPr>
            <w:tcW w:w="297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152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319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703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Layout w:type="fixed"/>
          <w:tblCellMar>
            <w:top w:w="0" w:type="dxa"/>
            <w:left w:w="0" w:type="dxa"/>
            <w:bottom w:w="0" w:type="dxa"/>
            <w:right w:w="0" w:type="dxa"/>
          </w:tblCellMar>
        </w:tblPrEx>
        <w:trPr>
          <w:trHeight w:val="90" w:hRule="atLeast"/>
        </w:trPr>
        <w:tc>
          <w:tcPr>
            <w:tcW w:w="297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52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19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19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40.15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40.15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43.76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7"/>
        <w:gridCol w:w="3549"/>
        <w:gridCol w:w="3319"/>
        <w:gridCol w:w="3319"/>
        <w:gridCol w:w="3334"/>
      </w:tblGrid>
      <w:tr>
        <w:tblPrEx>
          <w:tblLayout w:type="fixed"/>
          <w:tblCellMar>
            <w:top w:w="0" w:type="dxa"/>
            <w:left w:w="0" w:type="dxa"/>
            <w:bottom w:w="0" w:type="dxa"/>
            <w:right w:w="0" w:type="dxa"/>
          </w:tblCellMar>
        </w:tblPrEx>
        <w:trPr>
          <w:trHeight w:val="510" w:hRule="atLeast"/>
        </w:trPr>
        <w:tc>
          <w:tcPr>
            <w:tcW w:w="15378"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Layout w:type="fixed"/>
          <w:tblCellMar>
            <w:top w:w="0" w:type="dxa"/>
            <w:left w:w="0" w:type="dxa"/>
            <w:bottom w:w="0" w:type="dxa"/>
            <w:right w:w="0" w:type="dxa"/>
          </w:tblCellMar>
        </w:tblPrEx>
        <w:trPr>
          <w:trHeight w:val="255" w:hRule="atLeast"/>
        </w:trPr>
        <w:tc>
          <w:tcPr>
            <w:tcW w:w="8725"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重庆市忠县兴峰乡退役军人服务站</w:t>
            </w: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Layout w:type="fixed"/>
          <w:tblCellMar>
            <w:top w:w="0" w:type="dxa"/>
            <w:left w:w="0" w:type="dxa"/>
            <w:bottom w:w="0" w:type="dxa"/>
            <w:right w:w="0" w:type="dxa"/>
          </w:tblCellMar>
        </w:tblPrEx>
        <w:trPr>
          <w:trHeight w:val="285" w:hRule="atLeast"/>
        </w:trPr>
        <w:tc>
          <w:tcPr>
            <w:tcW w:w="8725"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308" w:hRule="atLeast"/>
        </w:trPr>
        <w:tc>
          <w:tcPr>
            <w:tcW w:w="5406"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9972"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Layout w:type="fixed"/>
          <w:tblCellMar>
            <w:top w:w="0" w:type="dxa"/>
            <w:left w:w="0" w:type="dxa"/>
            <w:bottom w:w="0" w:type="dxa"/>
            <w:right w:w="0" w:type="dxa"/>
          </w:tblCellMar>
        </w:tblPrEx>
        <w:trPr>
          <w:trHeight w:val="326" w:hRule="atLeast"/>
        </w:trPr>
        <w:tc>
          <w:tcPr>
            <w:tcW w:w="185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54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33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Layout w:type="fixed"/>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615"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08" w:hRule="atLeast"/>
        </w:trPr>
        <w:tc>
          <w:tcPr>
            <w:tcW w:w="5406"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43.76</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43.76</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0.11</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0.11</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40.15</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40.15</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3.33</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3.33</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2.22</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2.22</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1.11</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1.11</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20828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退役军人管理事务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36.82</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36.82</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2082850</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36.82</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36.82</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1.39</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1.39</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1.79</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1.79</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1.79</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1.79</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Layout w:type="fixed"/>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1.79</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1.79</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15360" w:type="dxa"/>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Layout w:type="fixed"/>
          <w:tblCellMar>
            <w:top w:w="0" w:type="dxa"/>
            <w:left w:w="0" w:type="dxa"/>
            <w:bottom w:w="0" w:type="dxa"/>
            <w:right w:w="0" w:type="dxa"/>
          </w:tblCellMar>
        </w:tblPrEx>
        <w:trPr>
          <w:trHeight w:val="90" w:hRule="atLeast"/>
        </w:trPr>
        <w:tc>
          <w:tcPr>
            <w:tcW w:w="15360" w:type="dxa"/>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Layout w:type="fixed"/>
          <w:tblCellMar>
            <w:top w:w="0" w:type="dxa"/>
            <w:left w:w="0" w:type="dxa"/>
            <w:bottom w:w="0" w:type="dxa"/>
            <w:right w:w="0" w:type="dxa"/>
          </w:tblCellMar>
        </w:tblPrEx>
        <w:trPr>
          <w:trHeight w:val="90" w:hRule="atLeast"/>
        </w:trPr>
        <w:tc>
          <w:tcPr>
            <w:tcW w:w="5557" w:type="dxa"/>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重庆市忠县兴峰乡退役军人服务站</w:t>
            </w: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Layout w:type="fixed"/>
          <w:tblCellMar>
            <w:top w:w="0" w:type="dxa"/>
            <w:left w:w="0" w:type="dxa"/>
            <w:bottom w:w="0" w:type="dxa"/>
            <w:right w:w="0" w:type="dxa"/>
          </w:tblCellMar>
        </w:tblPrEx>
        <w:trPr>
          <w:trHeight w:val="90" w:hRule="atLeast"/>
        </w:trPr>
        <w:tc>
          <w:tcPr>
            <w:tcW w:w="5557" w:type="dxa"/>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90" w:hRule="atLeast"/>
        </w:trPr>
        <w:tc>
          <w:tcPr>
            <w:tcW w:w="4721"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10639"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Layout w:type="fixed"/>
          <w:tblCellMar>
            <w:top w:w="0" w:type="dxa"/>
            <w:left w:w="0" w:type="dxa"/>
            <w:bottom w:w="0" w:type="dxa"/>
            <w:right w:w="0" w:type="dxa"/>
          </w:tblCellMar>
        </w:tblPrEx>
        <w:trPr>
          <w:trHeight w:val="312" w:hRule="atLeast"/>
        </w:trPr>
        <w:tc>
          <w:tcPr>
            <w:tcW w:w="605"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274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37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9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65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0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352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88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Layout w:type="fixed"/>
          <w:tblCellMar>
            <w:top w:w="0" w:type="dxa"/>
            <w:left w:w="0" w:type="dxa"/>
            <w:bottom w:w="0" w:type="dxa"/>
            <w:right w:w="0" w:type="dxa"/>
          </w:tblCellMar>
        </w:tblPrEx>
        <w:trPr>
          <w:trHeight w:val="312" w:hRule="atLeast"/>
        </w:trPr>
        <w:tc>
          <w:tcPr>
            <w:tcW w:w="605"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4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37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9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65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0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52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88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39.67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4.09</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7.60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0.55</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1.33</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23.38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2.22</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1.11</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0.11</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0.11</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0.52</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Layout w:type="fixed"/>
          <w:tblCellMar>
            <w:top w:w="0" w:type="dxa"/>
            <w:left w:w="0" w:type="dxa"/>
            <w:bottom w:w="0" w:type="dxa"/>
            <w:right w:w="0" w:type="dxa"/>
          </w:tblCellMar>
        </w:tblPrEx>
        <w:trPr>
          <w:trHeight w:val="90" w:hRule="atLeast"/>
        </w:trPr>
        <w:tc>
          <w:tcPr>
            <w:tcW w:w="3345"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13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39.67</w:t>
            </w:r>
            <w:r>
              <w:rPr>
                <w:color w:val="000000"/>
                <w:sz w:val="18"/>
                <w:u w:color="auto"/>
              </w:rPr>
              <w:t xml:space="preserve"> </w:t>
            </w:r>
          </w:p>
        </w:tc>
        <w:tc>
          <w:tcPr>
            <w:tcW w:w="8750"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18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4.09</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4"/>
        <w:gridCol w:w="3088"/>
        <w:gridCol w:w="1707"/>
        <w:gridCol w:w="1707"/>
        <w:gridCol w:w="1707"/>
        <w:gridCol w:w="1707"/>
        <w:gridCol w:w="1772"/>
        <w:gridCol w:w="1836"/>
      </w:tblGrid>
      <w:tr>
        <w:tblPrEx>
          <w:tblLayout w:type="fixed"/>
          <w:tblCellMar>
            <w:top w:w="0" w:type="dxa"/>
            <w:left w:w="0" w:type="dxa"/>
            <w:bottom w:w="0" w:type="dxa"/>
            <w:right w:w="0" w:type="dxa"/>
          </w:tblCellMar>
        </w:tblPrEx>
        <w:trPr>
          <w:trHeight w:val="64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Layout w:type="fixed"/>
          <w:tblCellMar>
            <w:top w:w="0" w:type="dxa"/>
            <w:left w:w="0" w:type="dxa"/>
            <w:bottom w:w="0" w:type="dxa"/>
            <w:right w:w="0" w:type="dxa"/>
          </w:tblCellMar>
        </w:tblPrEx>
        <w:trPr>
          <w:trHeight w:val="329" w:hRule="atLeast"/>
        </w:trPr>
        <w:tc>
          <w:tcPr>
            <w:tcW w:w="664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重庆市忠县兴峰乡退役军人服务站</w:t>
            </w: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Layout w:type="fixed"/>
          <w:tblCellMar>
            <w:top w:w="0" w:type="dxa"/>
            <w:left w:w="0" w:type="dxa"/>
            <w:bottom w:w="0" w:type="dxa"/>
            <w:right w:w="0" w:type="dxa"/>
          </w:tblCellMar>
        </w:tblPrEx>
        <w:trPr>
          <w:trHeight w:val="329" w:hRule="atLeast"/>
        </w:trPr>
        <w:tc>
          <w:tcPr>
            <w:tcW w:w="664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339"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1707"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17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518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Layout w:type="fixed"/>
          <w:tblCellMar>
            <w:top w:w="0" w:type="dxa"/>
            <w:left w:w="0" w:type="dxa"/>
            <w:bottom w:w="0" w:type="dxa"/>
            <w:right w:w="0" w:type="dxa"/>
          </w:tblCellMar>
        </w:tblPrEx>
        <w:trPr>
          <w:trHeight w:val="335" w:hRule="atLeast"/>
        </w:trPr>
        <w:tc>
          <w:tcPr>
            <w:tcW w:w="185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8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64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9" w:hRule="atLeast"/>
        </w:trPr>
        <w:tc>
          <w:tcPr>
            <w:tcW w:w="4942"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8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82"/>
        <w:gridCol w:w="3060"/>
        <w:gridCol w:w="3276"/>
        <w:gridCol w:w="200"/>
        <w:gridCol w:w="3475"/>
        <w:gridCol w:w="77"/>
        <w:gridCol w:w="3408"/>
      </w:tblGrid>
      <w:tr>
        <w:tblPrEx>
          <w:tblLayout w:type="fixed"/>
          <w:tblCellMar>
            <w:top w:w="0" w:type="dxa"/>
            <w:left w:w="0" w:type="dxa"/>
            <w:bottom w:w="0" w:type="dxa"/>
            <w:right w:w="0" w:type="dxa"/>
          </w:tblCellMar>
        </w:tblPrEx>
        <w:trPr>
          <w:trHeight w:val="650" w:hRule="atLeast"/>
        </w:trPr>
        <w:tc>
          <w:tcPr>
            <w:tcW w:w="15378" w:type="dxa"/>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Layout w:type="fixed"/>
          <w:tblCellMar>
            <w:top w:w="0" w:type="dxa"/>
            <w:left w:w="0" w:type="dxa"/>
            <w:bottom w:w="0" w:type="dxa"/>
            <w:right w:w="0" w:type="dxa"/>
          </w:tblCellMar>
        </w:tblPrEx>
        <w:trPr>
          <w:trHeight w:val="332" w:hRule="atLeast"/>
        </w:trPr>
        <w:tc>
          <w:tcPr>
            <w:tcW w:w="8218"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重庆市忠县兴峰乡退役军人服务站</w:t>
            </w: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Layout w:type="fixed"/>
          <w:tblCellMar>
            <w:top w:w="0" w:type="dxa"/>
            <w:left w:w="0" w:type="dxa"/>
            <w:bottom w:w="0" w:type="dxa"/>
            <w:right w:w="0" w:type="dxa"/>
          </w:tblCellMar>
        </w:tblPrEx>
        <w:trPr>
          <w:trHeight w:val="332" w:hRule="atLeast"/>
        </w:trPr>
        <w:tc>
          <w:tcPr>
            <w:tcW w:w="8218"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0" w:type="dxa"/>
            <w:bottom w:w="0" w:type="dxa"/>
            <w:right w:w="0" w:type="dxa"/>
          </w:tblCellMar>
        </w:tblPrEx>
        <w:trPr>
          <w:trHeight w:val="422"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0436" w:type="dxa"/>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Layout w:type="fixed"/>
          <w:tblCellMar>
            <w:top w:w="0" w:type="dxa"/>
            <w:left w:w="0" w:type="dxa"/>
            <w:bottom w:w="0" w:type="dxa"/>
            <w:right w:w="0" w:type="dxa"/>
          </w:tblCellMar>
        </w:tblPrEx>
        <w:trPr>
          <w:trHeight w:val="339" w:hRule="atLeast"/>
        </w:trPr>
        <w:tc>
          <w:tcPr>
            <w:tcW w:w="188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3476"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485"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Layout w:type="fixed"/>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326"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Layout w:type="fixed"/>
          <w:tblCellMar>
            <w:top w:w="0" w:type="dxa"/>
            <w:left w:w="0" w:type="dxa"/>
            <w:bottom w:w="0" w:type="dxa"/>
            <w:right w:w="0" w:type="dxa"/>
          </w:tblCellMar>
        </w:tblPrEx>
        <w:trPr>
          <w:trHeight w:val="611"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34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348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15000" w:type="dxa"/>
        <w:tblInd w:w="0" w:type="dxa"/>
        <w:tblLayout w:type="fixed"/>
        <w:tblCellMar>
          <w:top w:w="0" w:type="dxa"/>
          <w:left w:w="170" w:type="dxa"/>
          <w:bottom w:w="0" w:type="dxa"/>
          <w:right w:w="170" w:type="dxa"/>
        </w:tblCellMar>
      </w:tblPr>
      <w:tblGrid>
        <w:gridCol w:w="4041"/>
        <w:gridCol w:w="2166"/>
        <w:gridCol w:w="2115"/>
        <w:gridCol w:w="4524"/>
        <w:gridCol w:w="2154"/>
      </w:tblGrid>
      <w:tr>
        <w:tblPrEx>
          <w:tblLayout w:type="fixed"/>
          <w:tblCellMar>
            <w:top w:w="0" w:type="dxa"/>
            <w:left w:w="170" w:type="dxa"/>
            <w:bottom w:w="0" w:type="dxa"/>
            <w:right w:w="170" w:type="dxa"/>
          </w:tblCellMar>
        </w:tblPrEx>
        <w:trPr>
          <w:trHeight w:val="343" w:hRule="atLeast"/>
        </w:trPr>
        <w:tc>
          <w:tcPr>
            <w:tcW w:w="15000" w:type="dxa"/>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Layout w:type="fixed"/>
          <w:tblCellMar>
            <w:top w:w="0" w:type="dxa"/>
            <w:left w:w="170" w:type="dxa"/>
            <w:bottom w:w="0" w:type="dxa"/>
            <w:right w:w="170" w:type="dxa"/>
          </w:tblCellMar>
        </w:tblPrEx>
        <w:trPr>
          <w:trHeight w:val="244" w:hRule="atLeast"/>
        </w:trPr>
        <w:tc>
          <w:tcPr>
            <w:tcW w:w="4041"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6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2115"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Layout w:type="fixed"/>
          <w:tblCellMar>
            <w:top w:w="0" w:type="dxa"/>
            <w:left w:w="170" w:type="dxa"/>
            <w:bottom w:w="0" w:type="dxa"/>
            <w:right w:w="170" w:type="dxa"/>
          </w:tblCellMar>
        </w:tblPrEx>
        <w:trPr>
          <w:trHeight w:val="244" w:hRule="atLeast"/>
        </w:trPr>
        <w:tc>
          <w:tcPr>
            <w:tcW w:w="6207" w:type="dxa"/>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重庆市忠县兴峰乡退役军人服务站</w:t>
            </w:r>
          </w:p>
        </w:tc>
        <w:tc>
          <w:tcPr>
            <w:tcW w:w="2115"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Layout w:type="fixed"/>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66"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2115"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5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Layout w:type="fixed"/>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Layout w:type="fixed"/>
          <w:tblCellMar>
            <w:top w:w="0" w:type="dxa"/>
            <w:left w:w="170" w:type="dxa"/>
            <w:bottom w:w="0" w:type="dxa"/>
            <w:right w:w="170" w:type="dxa"/>
          </w:tblCellMar>
        </w:tblPrEx>
        <w:trPr>
          <w:trHeight w:val="286"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Layout w:type="fixed"/>
          <w:tblCellMar>
            <w:top w:w="0" w:type="dxa"/>
            <w:left w:w="170" w:type="dxa"/>
            <w:bottom w:w="0" w:type="dxa"/>
            <w:right w:w="170" w:type="dxa"/>
          </w:tblCellMar>
        </w:tblPrEx>
        <w:trPr>
          <w:trHeight w:val="389"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0.11</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9" o:spid="_x0000_s102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5F63EB"/>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0B7FF1"/>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5D60DFD"/>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1</TotalTime>
  <ScaleCrop>false</ScaleCrop>
  <LinksUpToDate>false</LinksUpToDate>
  <CharactersWithSpaces>26759</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Lenovo</cp:lastModifiedBy>
  <dcterms:modified xsi:type="dcterms:W3CDTF">2024-10-21T08:58:30Z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y fmtid="{D5CDD505-2E9C-101B-9397-08002B2CF9AE}" pid="3" name="ICV">
    <vt:lpwstr>BB46EABDBB2749749395447164B066B3_12</vt:lpwstr>
  </property>
</Properties>
</file>